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disaster and emergency services, including health care services, to certain populations.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EMERGENCY PLAN FOR SPECIALTY CARE POPULATIONS.  The division, in consultation with the Department of State Health Services and local governmental entities that have established emergency management plans, shall develop a plan to increase the capabilities of local emergency shelters in the provision of shelter and care for specialty care populations during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ACCESS TO LOCAL VOLUNTEER NETWORKS; VOLUNTEER MOBILE MEDICAL UNITS.  (a)</w:t>
      </w:r>
      <w:r>
        <w:rPr>
          <w:u w:val="single"/>
        </w:rPr>
        <w:t xml:space="preserve"> </w:t>
      </w:r>
      <w:r>
        <w:rPr>
          <w:u w:val="single"/>
        </w:rPr>
        <w:t xml:space="preserve"> </w:t>
      </w:r>
      <w:r>
        <w:rPr>
          <w:u w:val="single"/>
        </w:rPr>
        <w:t xml:space="preserve">The division, in consultation with the Department of State Health Services, shall increase awareness of and encourage local government emergency response teams to utilize services provided by local volunteer networks, including the Medical Reserve Corps, that are available in the area to respond during a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develop a plan to create and manage state-controlled volunteer mobile medical units in each public health region to assist counties that lack access to a volunteer network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State Health Services shall collaborate with local medical organizations that represent licensed physicians who practice in a county or public health region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physicians are informed about local government emergency response teams and those teams are aware of physician resources in the county or region,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compile and maintain a list of physicians in the county or region and the contact information for the physicians;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up-to-date information about resources for physicians regarding disaster planning, including continuing medical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promote the Texas Disaster Volunteer Registry and the Emergency System for Advance Registration of Volunteer Health Professionals;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consider incentives to assist with recruiting physician volunteers;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physicians and health professionals to advocate for disaster planning measures in health care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DISASTER ISSUES AFFECTING PERSONS WHO ARE ELDERLY AND PERSONS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means, with respect to an individual, a mental or physical impairment that substantially limits at least one major life activity of that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task force established under Section 418.132.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ESTABLISHMENT; PURPOSE.  The task force on disaster issues affecting persons who are elderly and persons with disabilities is established to study methods to more effectively: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persons who are elderly and persons with disabilities during a disaster or emergency evacuation;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accommodate persons who are elderly and persons with disabilities in emergency shelters.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COMPOSITION.  (a)</w:t>
      </w:r>
      <w:r>
        <w:rPr>
          <w:u w:val="single"/>
        </w:rPr>
        <w:t xml:space="preserve"> </w:t>
      </w:r>
      <w:r>
        <w:rPr>
          <w:u w:val="single"/>
        </w:rPr>
        <w:t xml:space="preserve"> </w:t>
      </w:r>
      <w:r>
        <w:rPr>
          <w:u w:val="single"/>
        </w:rPr>
        <w:t xml:space="preserve">The task force is composed of 11 members appointed by the governor,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who are first responders;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counties;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six members who represent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appointed to the task force must be persons with disabilities or guardians of children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serve staggered six-year terms with the terms of three or four members expiring February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designate one member of the task force to serve as the presiding officer of the task force. </w:t>
      </w:r>
      <w:r>
        <w:rPr>
          <w:u w:val="single"/>
        </w:rPr>
        <w:t xml:space="preserve"> </w:t>
      </w:r>
      <w:r>
        <w:rPr>
          <w:u w:val="single"/>
        </w:rPr>
        <w:t xml:space="preserve">The presiding officer serves in that capacity at the pleasure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TASK FORCE STUDY.  (a)</w:t>
      </w:r>
      <w:r>
        <w:rPr>
          <w:u w:val="single"/>
        </w:rPr>
        <w:t xml:space="preserve"> </w:t>
      </w:r>
      <w:r>
        <w:rPr>
          <w:u w:val="single"/>
        </w:rPr>
        <w:t xml:space="preserve"> </w:t>
      </w:r>
      <w:r>
        <w:rPr>
          <w:u w:val="single"/>
        </w:rPr>
        <w:t xml:space="preserve">The task force shall study methods to more effectively accommodate persons who are elderly and persons with disabilities during a disaster or emergency evacuation.  The study must examine and make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informational materials to persons who are elderly and persons with disabilities before a disaster occurs on disaster or emergency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accessibility of transportation and medical supplies to persons who are elderly and persons with disabilities during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different solutions for accommodating persons who are elderly and persons with disabilities during a disaster or emergency evacuation of a rural or urban area;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ability to effectively communicate with persons who are elderly and persons with disabilities during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availability of volunteers to assist persons who are elderly and persons with disabilities during an emergency evacuation.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develop and submit a written report of the study and recommendations developed by the task force to the governor, the lieutenant governor, the speaker of the house of representatives, and each member of the legislature not later than December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June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Division of Emergency Management is required to implement a provision of this Act only if the legislature appropriates money specifically for that purpose.  If the legislature does not appropriate money specifically for that purpose, the division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982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24,</w:t>
      </w:r>
      <w:r xml:space="preserve">
        <w:t> </w:t>
      </w:r>
      <w:r>
        <w:t xml:space="preserve">2019, Senate refused to concur in House amendments and requested appointment of Conference Committee; May</w:t>
      </w:r>
      <w:r xml:space="preserve">
        <w:t> </w:t>
      </w:r>
      <w:r>
        <w:t xml:space="preserve">25,</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982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3, two</w:t>
      </w:r>
      <w:r xml:space="preserve">
        <w:t> </w:t>
      </w:r>
      <w:r>
        <w:t xml:space="preserve">present not voting; May</w:t>
      </w:r>
      <w:r xml:space="preserve">
        <w:t> </w:t>
      </w:r>
      <w:r>
        <w:t xml:space="preserve">25,</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146, Nays</w:t>
      </w:r>
      <w:r xml:space="preserve">
        <w:t> </w:t>
      </w:r>
      <w:r>
        <w:t xml:space="preserve">0,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