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988</w:t>
      </w:r>
    </w:p>
    <w:p w:rsidR="003F3435" w:rsidRDefault="0032493E">
      <w:pPr>
        <w:ind w:firstLine="720"/>
        <w:jc w:val="both"/>
      </w:pPr>
      <w:r>
        <w:t xml:space="preserve">(Capriglione)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assessment of litigation costs and attorney's fees in certain actions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552.323(b),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an action brought under Section 552.324, the court may </w:t>
      </w:r>
      <w:r>
        <w:rPr>
          <w:u w:val="single"/>
        </w:rPr>
        <w:t xml:space="preserve">not</w:t>
      </w:r>
      <w:r>
        <w:t xml:space="preserve"> assess costs of litigation </w:t>
      </w:r>
      <w:r>
        <w:rPr>
          <w:u w:val="single"/>
        </w:rPr>
        <w:t xml:space="preserve">or</w:t>
      </w:r>
      <w:r>
        <w:t xml:space="preserve"> [</w:t>
      </w:r>
      <w:r>
        <w:rPr>
          <w:strike/>
        </w:rPr>
        <w:t xml:space="preserve">and</w:t>
      </w:r>
      <w:r>
        <w:t xml:space="preserve">] reasonable attorney's fees incurred by a plaintiff or defendant who substantially prevails </w:t>
      </w:r>
      <w:r>
        <w:rPr>
          <w:u w:val="single"/>
        </w:rPr>
        <w:t xml:space="preserve">unless the court finds the action or the defense of the action was groundless in fact or law</w:t>
      </w:r>
      <w:r>
        <w:t xml:space="preserve">. </w:t>
      </w:r>
      <w:r>
        <w:t xml:space="preserve"> </w:t>
      </w:r>
      <w:r>
        <w:t xml:space="preserve">In exercising its discretion under this subsection, the court shall consider whether the conduct of the governmental body had a reasonable basis in law and whether the litigation was brought in good faith.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brought on or after the effective date of this Act.  An action brought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