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2019S0192-2  02/19/19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995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increase in the basic allotment and classroom teacher salaries.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$5,765</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$5,765</w:t>
      </w:r>
      <w:r>
        <w:t xml:space="preserve"> [</w:t>
      </w:r>
      <w:r>
        <w:rPr>
          <w:strike/>
        </w:rPr>
        <w:t xml:space="preserve">$4,765</w:t>
      </w:r>
      <w:r>
        <w:t xml:space="preserve">]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42, Education Code, is amended by adding Section 42.2512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42.2512.</w:t>
      </w:r>
      <w:r>
        <w:rPr>
          <w:u w:val="single"/>
        </w:rPr>
        <w:t xml:space="preserve"> </w:t>
      </w:r>
      <w:r>
        <w:rPr>
          <w:u w:val="single"/>
        </w:rPr>
        <w:t xml:space="preserve"> </w:t>
      </w:r>
      <w:r>
        <w:rPr>
          <w:u w:val="single"/>
        </w:rPr>
        <w:t xml:space="preserve">ADDITIONAL STATE AID FOR TEACHER SALARIES.  (a)</w:t>
      </w:r>
      <w:r>
        <w:rPr>
          <w:u w:val="single"/>
        </w:rPr>
        <w:t xml:space="preserve"> </w:t>
      </w:r>
      <w:r>
        <w:rPr>
          <w:u w:val="single"/>
        </w:rPr>
        <w:t xml:space="preserve"> </w:t>
      </w:r>
      <w:r>
        <w:rPr>
          <w:u w:val="single"/>
        </w:rPr>
        <w:t xml:space="preserve">A school district, including a school district that is otherwise ineligible for state aid under this chapter, is entitled to state aid for classroom teacher salaries in an amount, as determined by the commissioner, equal to 50 percent of the amount of additional funds to which the district is entitled due to the increase made by __.B.</w:t>
      </w:r>
      <w:r>
        <w:rPr>
          <w:u w:val="single"/>
        </w:rPr>
        <w:t xml:space="preserve"> </w:t>
      </w:r>
      <w:r>
        <w:rPr>
          <w:u w:val="single"/>
        </w:rPr>
        <w:t xml:space="preserve">No.</w:t>
      </w:r>
      <w:r>
        <w:rPr>
          <w:u w:val="single"/>
        </w:rPr>
        <w:t xml:space="preserve"> </w:t>
      </w:r>
      <w:r>
        <w:rPr>
          <w:u w:val="single"/>
        </w:rPr>
        <w:t xml:space="preserve">____, Acts of the 86th Legislature, Regular Session, 2019, to the basic allotment under Section 42.101.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by the commissioner under this section is final and may not be appealed.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