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1006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22,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1,</w:t>
      </w:r>
      <w:r xml:space="preserve">
        <w:t> </w:t>
      </w:r>
      <w:r>
        <w:t xml:space="preserve">2019, read first time and referred to Committee on Property Tax; March</w:t>
      </w:r>
      <w:r xml:space="preserve">
        <w:t> </w:t>
      </w:r>
      <w:r>
        <w:t xml:space="preserve">14,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5, Nays 0; March</w:t>
      </w:r>
      <w:r xml:space="preserve">
        <w:t> </w:t>
      </w:r>
      <w:r>
        <w:t xml:space="preserve">14,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exemption from ad valorem taxation of income-producing tangible personal property having a value of less than a certain amount.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11.145,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11.145.</w:t>
      </w:r>
      <w:r xml:space="preserve">
        <w:t> </w:t>
      </w:r>
      <w:r xml:space="preserve">
        <w:t> </w:t>
      </w:r>
      <w:r>
        <w:t xml:space="preserve">INCOME-PRODUCING TANGIBLE PERSONAL PROPERTY HAVING VALUE OF LESS THAN </w:t>
      </w:r>
      <w:r>
        <w:rPr>
          <w:u w:val="single"/>
        </w:rPr>
        <w:t xml:space="preserve">$2,500</w:t>
      </w:r>
      <w:r>
        <w:t xml:space="preserve"> [</w:t>
      </w:r>
      <w:r>
        <w:rPr>
          <w:strike/>
        </w:rPr>
        <w:t xml:space="preserve">$500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11.145(a),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is entitled to an exemption from taxation of the tangible personal property the person owns that is held or used for the production of income if that property has a taxable value of less than </w:t>
      </w:r>
      <w:r>
        <w:rPr>
          <w:u w:val="single"/>
        </w:rPr>
        <w:t xml:space="preserve">$2,500</w:t>
      </w:r>
      <w:r>
        <w:t xml:space="preserve"> [</w:t>
      </w:r>
      <w:r>
        <w:rPr>
          <w:strike/>
        </w:rPr>
        <w:t xml:space="preserve">$500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ad valorem taxes imposed for a tax year that begins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