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1012</w:t>
      </w:r>
    </w:p>
    <w:p w:rsidR="003F3435" w:rsidRDefault="0032493E">
      <w:pPr>
        <w:ind w:firstLine="720"/>
        <w:jc w:val="both"/>
      </w:pPr>
      <w:r>
        <w:t xml:space="preserve">(Holland, Phelan, Raymond, Hunter, Rodriguez)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electric energy storage equipment requirements to municipally owned utilities and electric cooperatives.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35.152, Utilities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does not require a municipally owned utility or an electric cooperative that owns or operates electric energy storage equipment or facilities described by Subsection (a) to register as a power generation company under Section 39.351(a).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