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86R7096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1015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ongoing review of the public school finance system by the Texas Education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42, Education Code, is amended by adding Section 42.013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42.013.</w:t>
      </w:r>
      <w:r>
        <w:rPr>
          <w:u w:val="single"/>
        </w:rPr>
        <w:t xml:space="preserve"> </w:t>
      </w:r>
      <w:r>
        <w:rPr>
          <w:u w:val="single"/>
        </w:rPr>
        <w:t xml:space="preserve"> </w:t>
      </w:r>
      <w:r>
        <w:rPr>
          <w:u w:val="single"/>
        </w:rPr>
        <w:t xml:space="preserve">REVIEW OF SCHOOL FINANCE.  (a) The agency shall conduct a review of the following elements of the public school finance system on a six-year cycle according to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first biennium of the 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basic allotment under Section 42.101;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transportation allotment under Section 42.155;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new instructional facility allotment under Section 42.158;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second biennium of the 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cost of education adjustment under Section 42.102;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small and mid-sized district adjustment under Section 42.103;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special education allotment under Section 42.151;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third biennium of the cycle: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compensatory education allotment under Section 42.152;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bilingual education allotment under Section 42.153;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career and technology education allotment under Section 42.154.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of each even-numbered year, the agency shall submit to the governor, the lieutenant governor, and the speaker of the house of representatives a report on the results of the review for the applicable biennium and any recommendations for legislative or other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2020, the Texas Education Agency shall submit to the governor, the lieutenant governor, and the speaker of the house of representatives its initial report required under Section 42.013,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