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86R13195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1019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housing repair grant pilot program for property owners who provide housing to recipients of certain federal housing assistance.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2306, Government Code, is amended by adding Section 2306.2591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2306.2591.</w:t>
      </w:r>
      <w:r>
        <w:rPr>
          <w:u w:val="single"/>
        </w:rPr>
        <w:t xml:space="preserve"> </w:t>
      </w:r>
      <w:r>
        <w:rPr>
          <w:u w:val="single"/>
        </w:rPr>
        <w:t xml:space="preserve"> </w:t>
      </w:r>
      <w:r>
        <w:rPr>
          <w:u w:val="single"/>
        </w:rPr>
        <w:t xml:space="preserve">HOUSING REPAIR GRANT PILOT PROGRAM.  (a)  The department shall establish and administer a pilot program to provide grants to property owners who offer housing to recipients of assistance provided through the housing choice voucher program authorized under Section 8, United States Housing Act of 1937 (42 U.S.C. Section 1437f), including assistance provided through a supportive housing program for homeless veterans authorized under Section 8(o)(19), United States Housing Act of 1937 (42 U.S.C. Section 1437f(o)(19)).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made under the program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made from available money in the housing trust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the housing offered to recipients of the assistance described by Subsection (a), used by the property owner only to establish or maintain compliance with the housing quality standards established under Section 8, United States Housing Act of 1937 (42 U.S.C. Section 1437f).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adopt rules necessary to administer the program.  Rules adopted under this section must establish eligibility requirements for participation in the program, including proof of the need for and the completion of repairs.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