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 Birdwell</w:t>
      </w:r>
      <w:r xml:space="preserve">
        <w:tab wTab="150" tlc="none" cTlc="0"/>
      </w:r>
      <w:r>
        <w:t xml:space="preserve">S.B.</w:t>
      </w:r>
      <w:r xml:space="preserve">
        <w:t> </w:t>
      </w:r>
      <w:r>
        <w:t xml:space="preserve">No.</w:t>
      </w:r>
      <w:r xml:space="preserve">
        <w:t> </w:t>
      </w:r>
      <w:r>
        <w:t xml:space="preserve">1021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2;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1021</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operations of the Texas Low-Level Radioactive Waste Disposal Compact waste disposal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w:t>
      </w:r>
      <w:r>
        <w:rPr>
          <w:u w:val="single"/>
        </w:rPr>
        <w:t xml:space="preserve"> </w:t>
      </w:r>
      <w:r>
        <w:rPr>
          <w:u w:val="single"/>
        </w:rPr>
        <w:t xml:space="preserve"> </w:t>
      </w:r>
      <w:r>
        <w:rPr>
          <w:u w:val="single"/>
        </w:rPr>
        <w:t xml:space="preserve">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401.207(e-2) and (g), Health and Safety Code, are amended to read as follows:</w:t>
      </w:r>
    </w:p>
    <w:p w:rsidR="003F3435" w:rsidRDefault="0032493E">
      <w:pPr>
        <w:spacing w:line="480" w:lineRule="auto"/>
        <w:ind w:firstLine="720"/>
        <w:jc w:val="both"/>
      </w:pPr>
      <w:r>
        <w:t xml:space="preserve">(e-2)</w:t>
      </w:r>
      <w:r xml:space="preserve">
        <w:t> </w:t>
      </w:r>
      <w:r xml:space="preserve">
        <w:t> </w:t>
      </w:r>
      <w:r>
        <w:t xml:space="preserve">The commission's executive director, on completion of the study under Section 401.208, may prohibit the license holder from accepting any additional nonparty compact waste if the commission determines from the study that the capacity of the facility will be limited, regardless of whether the </w:t>
      </w:r>
      <w:r>
        <w:rPr>
          <w:u w:val="single"/>
        </w:rPr>
        <w:t xml:space="preserve">facility has the constructed capacity required by Section 401.2075(a)</w:t>
      </w:r>
      <w:r>
        <w:t xml:space="preserve"> [</w:t>
      </w:r>
      <w:r>
        <w:rPr>
          <w:strike/>
        </w:rPr>
        <w:t xml:space="preserve">limit under Subsection (f) has been reached</w:t>
      </w:r>
      <w:r>
        <w:t xml:space="preserve">].</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w:t>
      </w:r>
      <w:r>
        <w:t xml:space="preserve"> </w:t>
      </w:r>
      <w:r>
        <w:t xml:space="preserve">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w:t>
      </w:r>
      <w:r>
        <w:rPr>
          <w:u w:val="single"/>
        </w:rPr>
        <w:t xml:space="preserve"> </w:t>
      </w:r>
      <w:r>
        <w:rPr>
          <w:u w:val="single"/>
        </w:rPr>
        <w:t xml:space="preserve"> </w:t>
      </w:r>
      <w:r>
        <w:rPr>
          <w:u w:val="single"/>
        </w:rPr>
        <w:t xml:space="preserve">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preceding five years, not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performance bond acceptable to the commission conditioned on the construction of additional constructed capacity sufficient to meet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nuclear electric generation facility in a party state has notified the federal commission that the facility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w:t>
      </w:r>
      <w:r>
        <w:rPr>
          <w:u w:val="single"/>
        </w:rPr>
        <w:t xml:space="preserve"> </w:t>
      </w:r>
      <w:r>
        <w:rPr>
          <w:u w:val="single"/>
        </w:rPr>
        <w:t xml:space="preserve"> </w:t>
      </w:r>
      <w:r>
        <w:rPr>
          <w:u w:val="single"/>
        </w:rPr>
        <w:t xml:space="preserve">The compact waste disposal facility license holder shall conduct and provide to the commission an annual comparison of party state and nonparty state compact waste disposal fees.  The comparison: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invoiced compact waste disposal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volume of compact waste disposed;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average disposal fee calculated by dividing the total invoiced compact waste disposal fees by the total volume of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information regarding disposal fees or disposal volume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compact waste disposal fee charged to party state generators exceeds the average compact waste disposal fee charged to nonparty state generators, the compact waste disposal facility license holder must issue a rebate for the preceding year's fees to the party state generators in an amount sufficient to reduce the average compact waste disposal fee charged to party state generators after the rebate to $1 less than the average compact waste disposal fee charged to nonparty state generators.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more often than once per year, on written request of a nuclear electric generation utility operating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license holder receives the final audit report, make a copy of the report available to the requesting utility, the governor, the lieutenant governor, the speaker of the house of representatives, and each standing committee of the legislature with jurisdiction over environmental matters.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401.271(a)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holder of a license issued by the commission under this chapter that authorizes the disposal of a radioactive substance from other persons shall remit each quarter an amount equal to </w:t>
      </w:r>
      <w:r>
        <w:rPr>
          <w:u w:val="single"/>
        </w:rPr>
        <w:t xml:space="preserve">five</w:t>
      </w:r>
      <w:r>
        <w:t xml:space="preserve"> [</w:t>
      </w:r>
      <w:r>
        <w:rPr>
          <w:strike/>
        </w:rPr>
        <w:t xml:space="preserve">10</w:t>
      </w:r>
      <w:r>
        <w:t xml:space="preserve">] percent of the license holder's gross receipts received from disposal operations under </w:t>
      </w:r>
      <w:r>
        <w:rPr>
          <w:u w:val="single"/>
        </w:rPr>
        <w:t xml:space="preserve">the</w:t>
      </w:r>
      <w:r>
        <w:t xml:space="preserve"> [</w:t>
      </w:r>
      <w:r>
        <w:rPr>
          <w:strike/>
        </w:rPr>
        <w:t xml:space="preserve">a</w:t>
      </w:r>
      <w:r>
        <w:t xml:space="preserve">] license [</w:t>
      </w:r>
      <w:r>
        <w:rPr>
          <w:strike/>
        </w:rPr>
        <w:t xml:space="preserve">issued under this chapter that occur after the effective date of the Act enacting this section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five percent shall be remitted to the comptroller for deposit to the credit of the general revenue fund;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five percent shall be remitted</w:t>
      </w:r>
      <w:r>
        <w:t xml:space="preserve">] to the host county in accordance with Sections 401.244(b) and (d).</w:t>
      </w:r>
    </w:p>
    <w:p w:rsidR="003F3435" w:rsidRDefault="0032493E">
      <w:pPr>
        <w:spacing w:line="480" w:lineRule="auto"/>
        <w:ind w:firstLine="720"/>
        <w:jc w:val="both"/>
      </w:pPr>
      <w:r>
        <w:t xml:space="preserve">(b)</w:t>
      </w:r>
      <w:r xml:space="preserve">
        <w:t> </w:t>
      </w:r>
      <w:r xml:space="preserve">
        <w:t> </w:t>
      </w:r>
      <w:r>
        <w:t xml:space="preserve">Subsection (a) does not apply to [</w:t>
      </w:r>
      <w:r>
        <w:rPr>
          <w:strike/>
        </w:rPr>
        <w:t xml:space="preserve">compact waste or federal facility waste as defined by Section 401.2005 or</w:t>
      </w:r>
      <w:r>
        <w:t xml:space="preserve">] industrial solid waste as defined by Section 361.003.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Sections 401.207(d-1), (d-2), (d-3), (e), (e-1), (f), and (h-1);</w:t>
      </w:r>
    </w:p>
    <w:p w:rsidR="003F3435" w:rsidRDefault="0032493E">
      <w:pPr>
        <w:spacing w:line="480" w:lineRule="auto"/>
        <w:ind w:firstLine="1440"/>
        <w:jc w:val="both"/>
      </w:pPr>
      <w:r>
        <w:t xml:space="preserve">(2)</w:t>
      </w:r>
      <w:r xml:space="preserve">
        <w:t> </w:t>
      </w:r>
      <w:r xml:space="preserve">
        <w:t> </w:t>
      </w:r>
      <w:r>
        <w:t xml:space="preserve">Section 401.2445; and</w:t>
      </w:r>
    </w:p>
    <w:p w:rsidR="003F3435" w:rsidRDefault="0032493E">
      <w:pPr>
        <w:spacing w:line="480" w:lineRule="auto"/>
        <w:ind w:firstLine="1440"/>
        <w:jc w:val="both"/>
      </w:pPr>
      <w:r>
        <w:t xml:space="preserve">(3)</w:t>
      </w:r>
      <w:r xml:space="preserve">
        <w:t> </w:t>
      </w:r>
      <w:r xml:space="preserve">
        <w:t> </w:t>
      </w:r>
      <w:r>
        <w:t xml:space="preserve">Sections 401.2456(b), (c), (d), and (e).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