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1024</w:t>
      </w:r>
    </w:p>
    <w:p w:rsidR="003F3435" w:rsidRDefault="0032493E">
      <w:pPr>
        <w:ind w:firstLine="720"/>
        <w:jc w:val="both"/>
      </w:pPr>
      <w:r>
        <w:t xml:space="preserve">(Craddick)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access to services in an area annexed by certain tier 1 municipalities under a service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43, Local Government Code, is amended by adding Section 43.0565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43.0565.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ACCESS TO SERVICES BY CERTAIN MUNICIPALITIES IN ANNEXED AREA.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350,000 or less shall provide access to services provided to an annexed area under a service plan described by Section 43.056 that is identical or substantially similar to access to those services in the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residing in an annexed area subject to a service plan may apply for a writ of mandamus against a municipality that fails to provide access to services in accordance with Subsection (a).  In the action for the writ: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order the parties to participate in mediation;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has the burden of proving that the municipality complied with Subsection 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may provide evidence that the costs for the person to access the services are disproportionate to the costs incurred by a municipal resident to access those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person prevails: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shall: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disannex the property that is the subject of the suit within a reasonable period specified by the court;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Subsection (a);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award the person's attorney's fees and costs incurred in bringing the action for the writ.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municipality's governmental immunity to suit and from liability is waived and abolished to the extent of liability created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