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86R9461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1027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sonogram requirements for a pregnant minor seeking an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w:t>
      </w:r>
      <w:r xml:space="preserve">
        <w:t> </w:t>
      </w:r>
      <w:r xml:space="preserve">
        <w:t> </w:t>
      </w:r>
      <w:r>
        <w:t xml:space="preserve">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Department of State Health Services;</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department;</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w:t>
      </w:r>
      <w:r>
        <w:rPr>
          <w:strike/>
        </w:rPr>
        <w:t xml:space="preserve">___ I AM A MINOR AND OBTAINING AN ABORTION IN ACCORDANCE WITH JUDICIAL BYPASS PROCEDURES UNDER CHAPTER 33, TEXAS FAMILY CODE.</w:t>
      </w:r>
      <w:r>
        <w:t xml:space="preserve">]</w:t>
      </w:r>
    </w:p>
    <w:p w:rsidR="003F3435" w:rsidRDefault="0032493E">
      <w:pPr>
        <w:spacing w:line="480" w:lineRule="auto"/>
        <w:ind w:firstLine="1440"/>
        <w:ind w:start="720"/>
        <w:ind w:end="720"/>
        <w:jc w:val="both"/>
      </w:pPr>
      <w:r>
        <w:t xml:space="preserve">___ MY FETUS HAS AN IRREVERSIBLE MEDICAL CONDITION OR ABNORMALITY, AS IDENTIFIED BY RELIABLE DIAGNOSTIC PROCEDURES AND DOCUMENTED IN MY MEDICAL FILE.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w:t>
      </w:r>
      <w:r xml:space="preserve">
        <w:t> </w:t>
      </w:r>
      <w:r xml:space="preserve">
        <w:t> </w:t>
      </w:r>
      <w:r>
        <w:t xml:space="preserve">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pregnant woman may choose not to receive the verbal explanation of the results of the sonogram images under Section 171.012(a)(4)(C) if:</w:t>
      </w:r>
    </w:p>
    <w:p w:rsidR="003F3435" w:rsidRDefault="0032493E">
      <w:pPr>
        <w:spacing w:line="480" w:lineRule="auto"/>
        <w:ind w:firstLine="1440"/>
        <w:jc w:val="both"/>
      </w:pPr>
      <w:r>
        <w:t xml:space="preserve">(1)</w:t>
      </w:r>
      <w:r xml:space="preserve">
        <w:t> </w:t>
      </w:r>
      <w:r xml:space="preserve">
        <w:t> </w:t>
      </w:r>
      <w:r>
        <w:t xml:space="preserve">the woman's pregnancy is a result of a sexual assault, incest, or other violation of the Penal Code that has been reported to law enforcement authorities or that has not been reported because she has a reason that she declines to reveal because she reasonably believes that to do so would put her at risk of retaliation resulting in serious bodily injury;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woman is a minor and obtaining an abortion in accordance with judicial bypass procedures under Chapter 33, Family Code;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fetus has an irreversible medical condition or abnormality, as previously identified by reliable diagnostic procedures and documented in the woman's medical file.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abortion performed on or after the effective date of this Act.  An abortion performed before the effective date of this Act is governed by the law in effect on the date the abortion is performed, and that law continues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