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1029</w:t>
      </w:r>
    </w:p>
    <w:p w:rsidR="003F3435" w:rsidRDefault="0032493E">
      <w:pPr>
        <w:ind w:firstLine="720"/>
        <w:jc w:val="both"/>
      </w:pPr>
      <w:r>
        <w:t xml:space="preserve">(Shaheen)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eligibility of a person for appointment as an arbitrator in a binding arbitration of an appraisal review board order.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41A.07(f),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A person is not eligible for appointment as an arbitrator under Subsection (a) if at any time during the preceding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five</w:t>
      </w:r>
      <w:r>
        <w:t xml:space="preserve">] years, the person has: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represented a person for compensation in a proceeding under this title in the appraisal district in which the property that is the subject of the appeal is located;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served as an officer or employee of that appraisal district;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served as a member of the appraisal review board for that appraisal district.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