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86R6928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a person for appointment as an arbitrator in a binding arbitration of an appraisal review board order.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41A.07(f),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person is not eligible for appointment as an arbitrator under Subsection (a) if at any time during the preceding </w:t>
      </w:r>
      <w:r>
        <w:rPr>
          <w:u w:val="single"/>
        </w:rPr>
        <w:t xml:space="preserve">two</w:t>
      </w:r>
      <w:r>
        <w:t xml:space="preserve"> [</w:t>
      </w:r>
      <w:r>
        <w:rPr>
          <w:strike/>
        </w:rPr>
        <w:t xml:space="preserve">five</w:t>
      </w:r>
      <w:r>
        <w:t xml:space="preserve">] years, the person has: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represented a person for compensation in a proceeding under this title in the appraisal district in which the property that is the subject of the appeal is located;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served as an officer or employee of that appraisal district;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served as a member of the appraisal review board for that appraisal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