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Property Tax;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eligibility of a person for appointment as an arbitrator in a binding arbitration of an appraisal review board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41A.07(f),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is not eligible for appointment as an arbitrator under Subsection (a) if at any time during the preceding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years, the person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represented a person for compensation in a proceeding under this title in the appraisal district in which the property that is the subject of the appeal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served as an officer or employee of that appraisal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served as a member of the appraisal review board for that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