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86R9710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a water supply system to provide certain information to consumers regarding fluoride in drinking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341, Health and Safety Code, is amended by adding Section 341.0335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341.0335.</w:t>
      </w:r>
      <w:r>
        <w:rPr>
          <w:u w:val="single"/>
        </w:rPr>
        <w:t xml:space="preserve"> </w:t>
      </w:r>
      <w:r>
        <w:rPr>
          <w:u w:val="single"/>
        </w:rPr>
        <w:t xml:space="preserve"> </w:t>
      </w:r>
      <w:r>
        <w:rPr>
          <w:u w:val="single"/>
        </w:rPr>
        <w:t xml:space="preserve">FLUORIDATED WATER; DISCLOSURE OF CERTAIN INFORMATION.  (a) </w:t>
      </w:r>
      <w:r>
        <w:rPr>
          <w:u w:val="single"/>
        </w:rPr>
        <w:t xml:space="preserve"> </w:t>
      </w:r>
      <w:r>
        <w:rPr>
          <w:u w:val="single"/>
        </w:rPr>
        <w:t xml:space="preserve">Except as provided in Subsection (b), a water supply system that furnishes drinking water to which fluoride has been added shall disclose in a conspicuous place on the system's publicly accessible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fluoride that occurs naturally in the drinking water furnished by the system to a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fluoride added to the drinking water before distribution to a customer;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combined amount of fluoride in the drinking water from the sources described by Subdivisions (1) and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 applicable, the identity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who supplies the fluoride additive;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with whom the system contracts to add fluoride to the drinking water;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annual cost of adding fluoride to the drinking water distributed by the system, including the cost of the fluoride additive, the labor for adding the fluoride, and any contracts related to the fluoride additive.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water supply system that does not maintain an Internet website shall annually disclose the information required under Subsection (a) by including a copy of the information with a bill sent to the system's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water supply system shall disclose the information required by Section 341.0335, Health and Safety Code, as added by this Act,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