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86R6830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right of a parent of a public school student to request that the student receive instruction or an assessment instrument in a printed format.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26, Education Code, is amended by adding Section 26.014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RIGHTS TO PRINTED MATERIAL.  (a) </w:t>
      </w:r>
      <w:r>
        <w:rPr>
          <w:u w:val="single"/>
        </w:rPr>
        <w:t xml:space="preserve"> </w:t>
      </w:r>
      <w:r>
        <w:rPr>
          <w:u w:val="single"/>
        </w:rPr>
        <w:t xml:space="preserve">A student's parent or legal guardian is entitled to request that the school district or open-enrollment charter school the student attends provide instruction or administer an assessment instrument to the student in a printed or other noncomputerized format. </w:t>
      </w:r>
      <w:r>
        <w:rPr>
          <w:u w:val="single"/>
        </w:rPr>
        <w:t xml:space="preserve"> </w:t>
      </w:r>
      <w:r>
        <w:rPr>
          <w:u w:val="single"/>
        </w:rPr>
        <w:t xml:space="preserve">A request under this section may not be unreasonably denied.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must document each request made under Subsection (a), including, if the request was denied, the reason for denial. </w:t>
      </w:r>
      <w:r>
        <w:rPr>
          <w:u w:val="single"/>
        </w:rPr>
        <w:t xml:space="preserve"> </w:t>
      </w:r>
      <w:r>
        <w:rPr>
          <w:u w:val="single"/>
        </w:rPr>
        <w:t xml:space="preserve">Not later than the 30th day after the date the district or school receives the request, the district or school must report the request to the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September 1 of each year, the agency shall submit an annual report to the legislature that includes the number of requests made under Subsection (a) that each school district and open-enrollment charter school received and, if any requests were denied, the reasons for denial.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26.014, Education Code, as added by this Act,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