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86R3423 CLG-D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Taylor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entities eligible to authorize the creation of a spaceport development corporation.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507.003,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507.003.</w:t>
      </w:r>
      <w:r xml:space="preserve">
        <w:t> </w:t>
      </w:r>
      <w:r xml:space="preserve">
        <w:t> </w:t>
      </w:r>
      <w:r>
        <w:t xml:space="preserve">AUTHORITY TO CREATE CORPORATION BY ELIGIBLE ENTITIES.  The following entities are eligible to authorize the creation under this subtitle of a spaceport development corporation: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county;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a municipality with a population of two million or more;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 xml:space="preserve">
        <w:t> </w:t>
      </w:r>
      <w:r>
        <w:t xml:space="preserve">a combination of one or more municipalities and one or more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507.051, Local Government Code, is amended by amending Subsection (b) and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If a single county authorizes the creation of a spaceport development corporation, the commissioners court of the county shall appoint the directors of the corporation.  </w:t>
      </w:r>
      <w:r>
        <w:rPr>
          <w:u w:val="single"/>
        </w:rPr>
        <w:t xml:space="preserve">If a single municipality authorizes the creation of a spaceport development corporation under Section 507.003(2), the governing body of the municipality shall appoint the directors of the corporation.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 xml:space="preserve">
        <w:t> </w:t>
      </w:r>
      <w:r xml:space="preserve">
        <w:t> </w:t>
      </w:r>
      <w:r>
        <w:t xml:space="preserve">If more than one political subdivision authorizes the creation of a spaceport development corporation, the governing bodies of the political subdivisions shall appoint the directors through written agreement between the governing bodies.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