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86R9376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academic accountability ratings for certain school districts and open-enrollment charter schools that offer full-time online programs through the state virtual school network.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30A.110, Education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subsection applies only to a school district or open-enrollment charter school that provides instruction to students while students are located on the physical premises of a district or school campus and provides separate instruction to students enrolled full-time in courses provided through a district or school full-time online campus program.  In determining the performance ratings under Section 39.054 of a school district or open-enrollment charter school subject to this subsection, the commissioner shall evaluate the performance of students enrolled in a district or school full-time online campus program separately from the performance of other district or school students and assign: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separate district or school overall and domain performance ratings for the district's or school's full-time online program; 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separate campus overall and domain performance ratings for each full-time online campus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