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2019S0244-2  02/22/19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1046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312.207, Tax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other requirement of law, the public notice of a meeting at which the governing body of a municipality will consider the approval of a tax abatement agreement with a property owner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location of the reinvestment zone in which the property subject to the agreement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the nature of the improvements or repairs included in the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of the improvements or repairs;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date the improvements or repairs will begin;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estimated date the improvements or repairs will be completed;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improvements or repairs are necessary for the operation of a business on the property, the estimated date operations will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of a meeting required by this section must be given in the manner required by Chapter 551, Government Code, except that the notice must be provided at least 120 hours before the scheduled time of the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312, Tax Code, is amended by adding Section 312.404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312.404.</w:t>
      </w:r>
      <w:r>
        <w:rPr>
          <w:u w:val="single"/>
        </w:rPr>
        <w:t xml:space="preserve"> </w:t>
      </w:r>
      <w:r>
        <w:rPr>
          <w:u w:val="single"/>
        </w:rPr>
        <w:t xml:space="preserve"> </w:t>
      </w:r>
      <w:r>
        <w:rPr>
          <w:u w:val="single"/>
        </w:rPr>
        <w:t xml:space="preserve">APPROVAL BY COMMISSIONERS COURT.  To be effective, an agreement made under this subchapter must be approved by the commissioners court in the manner that the governing body of a municipality authorizes an agreement under Section 312.207.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tax abatement agreement entered into on or after the effective date of this Act.  A tax abatement agreement entered into before the effective date of this Act is governed by the law in effect when the agreement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