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86R12706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1047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rehabilitation, demolition, or change in use of residential property occupied by a tenant.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92.026.</w:t>
      </w:r>
      <w:r>
        <w:rPr>
          <w:u w:val="single"/>
        </w:rPr>
        <w:t xml:space="preserve"> </w:t>
      </w:r>
      <w:r>
        <w:rPr>
          <w:u w:val="single"/>
        </w:rPr>
        <w:t xml:space="preserve"> </w:t>
      </w:r>
      <w:r>
        <w:rPr>
          <w:u w:val="single"/>
        </w:rPr>
        <w:t xml:space="preserve">REHABILITATION, DEMOLITION, OR CHANGE IN USE.  (a)  Unless there is a casualty loss making a rental premises unusable for residential purposes, a landlord may not refuse to renew a tenant's lease to allow the landlord to rehabilitate, sell or close for demolition and redevelopment, or change the use of the rental unit or premises unless the landlord delivers a notice to the tenant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the date on which the rehabilitation of the rental unit or premises will begin, the rental unit or premises will be offered for sale or closed, or the use of the rental unit or premises will change,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informs the tenant that the tenant must relocate on a specific date, which may not be earlier than the 90th day after the date the landlord delivers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rental unit is a single-family house or duplex that is the only residential building on the property and the landlord intends to sell the property for demolition and redevelopment, informs the tenant that the tenant has a right of first refusal to purchase the property that may be exercised on or before the 90th day after the date the notice is delivered.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change the use of the rental unit or premises, terminate or modify a lease, or require a tenant to relocate under this section before the expiration of a lease term;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tenant to relocate before the date described by Subsection (a)(2);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grant the tenant a right of first refusal to purchase the property as described by Subsection (a)(3), if applicable;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intentionally attempt to deter or deter a tenant from renewing a lease to avoid application of this section by raising the tenant's rent, depriving the tenant of the use of the premises, or decreasing services to the tenant.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tenant is required to relocate under this section, the landlord shall promptly return the tenant's security deposit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fixtures and appliances of the rental unit remain in the rental unit;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property of the tenant is removed from the premises by the tenant on or before the date the tenant moves out of the rental unit.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tenant may recover from a landlord who violates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that a local ordinance provides greater protection to a tenant than is provided by this section, the local ordinance prevails.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provision of a lease that purports to waive a right or exempt a party from liability or a duty under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