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86R10150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AUTOMATIC VOTER REGISTRATION THROUGH DEPARTMENT OF PUBLIC SAFETY FOR CERTAIN PERSONS.  (a) The voter registrar of each county shall automatically register any county resident who is 18 years of age, eligible to vote as provided by Section 13.001, and issued a Texas driver's license or a personal identification card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20.063, Election Code,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shall provide to each person who applies in person</w:t>
      </w:r>
      <w:r>
        <w:rPr>
          <w:u w:val="single"/>
        </w:rPr>
        <w:t xml:space="preserve">, by mail, or online at the department's Internet website</w:t>
      </w:r>
      <w:r>
        <w:t xml:space="preserve"> [</w:t>
      </w:r>
      <w:r>
        <w:rPr>
          <w:strike/>
        </w:rPr>
        <w:t xml:space="preserve">at the department's offices</w:t>
      </w:r>
      <w:r>
        <w:t xml:space="preserve">]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(c)</w:t>
      </w:r>
      <w:r xml:space="preserve">
        <w:t> </w:t>
      </w:r>
      <w:r xml:space="preserve">
        <w:t> </w:t>
      </w:r>
      <w:r>
        <w:t xml:space="preserve">A change of address that relates to a license or card and that is submitted to the department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serves as a change of address for voter registration unless the licensee or cardholder indicates that the change is not for voter registration purposes.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Public Safety shall consider an application made in person, by mail, or online at the department's Internet website for an original or renewal of a driver's license, a personal identification card, or a duplicate or corrected license or card by a person who is 18 years of age and eligible to vote as provided by Section 13.001 an application for voter registration.  The date of application is considered to be the date of submission to the voter registrar for the purpose of determining the effective date of registration.  The registration of an eligible voter under this subsection is automatic unless the person indicates that the transaction is not for voter registration purposes.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w:t>
      </w:r>
      <w:r>
        <w:t xml:space="preserve">] each person who completes a voter registration application submitted to the department </w:t>
      </w:r>
      <w:r>
        <w:rPr>
          <w:u w:val="single"/>
        </w:rPr>
        <w:t xml:space="preserve">and for each individual who is eligible for registration under Section 20.063(e)</w:t>
      </w:r>
      <w:r>
        <w:t xml:space="preserve">.  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