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86R6182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1058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discontinuation of the pawnshop employee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371.257(a),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pawnshop license [</w:t>
      </w:r>
      <w:r>
        <w:rPr>
          <w:strike/>
        </w:rPr>
        <w:t xml:space="preserve">or a pawnshop employee license</w:t>
      </w:r>
      <w:r>
        <w:t xml:space="preserve">] may surrender the license by delivering it to the commissioner with written notice of surrender.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371.258(a) and (b), Finance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pawnshop license [</w:t>
      </w:r>
      <w:r>
        <w:rPr>
          <w:strike/>
        </w:rPr>
        <w:t xml:space="preserve">or a pawnshop employee license</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reinstate a suspended pawnshop license [</w:t>
      </w:r>
      <w:r>
        <w:rPr>
          <w:strike/>
        </w:rPr>
        <w:t xml:space="preserve">or pawnshop employee license</w:t>
      </w:r>
      <w:r>
        <w:t xml:space="preserve">] or issue a new license to the person whose license or licenses have been revoked if no fact or condition exists that clearly would have justified refusal to issue the license originally.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371.259, Finance Code, is amended to read as follows:</w:t>
      </w:r>
    </w:p>
    <w:p w:rsidR="003F3435" w:rsidRDefault="0032493E">
      <w:pPr>
        <w:spacing w:line="480" w:lineRule="auto"/>
        <w:ind w:firstLine="720"/>
        <w:jc w:val="both"/>
      </w:pPr>
      <w:r>
        <w:t xml:space="preserve">Sec.</w:t>
      </w:r>
      <w:r xml:space="preserve">
        <w:t> </w:t>
      </w:r>
      <w:r>
        <w:t xml:space="preserve">371.259.</w:t>
      </w:r>
      <w:r xml:space="preserve">
        <w:t> </w:t>
      </w:r>
      <w:r xml:space="preserve">
        <w:t> </w:t>
      </w:r>
      <w:r>
        <w:t xml:space="preserve">CERTIFICATE OF STANDING; COPIES. The commissioner, under the commissioner's seal and signature, shall provide a certificate of good standing or a certified copy of a pawnshop license [</w:t>
      </w:r>
      <w:r>
        <w:rPr>
          <w:strike/>
        </w:rPr>
        <w:t xml:space="preserve">or a pawnshop employee license</w:t>
      </w:r>
      <w:r>
        <w:t xml:space="preserve">] to a person who applies and pays for the certificate or copy.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Subchapter C, Chapter 371;</w:t>
      </w:r>
    </w:p>
    <w:p w:rsidR="003F3435" w:rsidRDefault="0032493E">
      <w:pPr>
        <w:spacing w:line="480" w:lineRule="auto"/>
        <w:ind w:firstLine="1440"/>
        <w:jc w:val="both"/>
      </w:pPr>
      <w:r>
        <w:t xml:space="preserve">(2)</w:t>
      </w:r>
      <w:r xml:space="preserve">
        <w:t> </w:t>
      </w:r>
      <w:r xml:space="preserve">
        <w:t> </w:t>
      </w:r>
      <w:r>
        <w:t xml:space="preserve">Sections 371.255 and 371.256; and</w:t>
      </w:r>
    </w:p>
    <w:p w:rsidR="003F3435" w:rsidRDefault="0032493E">
      <w:pPr>
        <w:spacing w:line="480" w:lineRule="auto"/>
        <w:ind w:firstLine="1440"/>
        <w:jc w:val="both"/>
      </w:pPr>
      <w:r>
        <w:t xml:space="preserve">(3)</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On the effective date of this Act, a license issued under former Section 371.104, Finance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licensing, or other fee paid by the person before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