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86R10019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provide home-delivered meals to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33.037.</w:t>
      </w:r>
      <w:r>
        <w:rPr>
          <w:u w:val="single"/>
        </w:rPr>
        <w:t xml:space="preserve"> </w:t>
      </w:r>
      <w:r>
        <w:rPr>
          <w:u w:val="single"/>
        </w:rPr>
        <w:t xml:space="preserve"> </w:t>
      </w:r>
      <w:r>
        <w:rPr>
          <w:u w:val="single"/>
        </w:rPr>
        <w:t xml:space="preserve">HOME-DELIVERED MEALS PILOT PROGRAM. </w:t>
      </w:r>
      <w:r>
        <w:rPr>
          <w:u w:val="single"/>
        </w:rPr>
        <w:t xml:space="preserve"> </w:t>
      </w:r>
      <w:r>
        <w:rPr>
          <w:u w:val="single"/>
        </w:rPr>
        <w:t xml:space="preserve">(a) </w:t>
      </w:r>
      <w:r>
        <w:rPr>
          <w:u w:val="single"/>
        </w:rPr>
        <w:t xml:space="preserve"> </w:t>
      </w:r>
      <w:r>
        <w:rPr>
          <w:u w:val="single"/>
        </w:rPr>
        <w:t xml:space="preserve">The commission shall develop and implement a pilot program to provide home-delivered meals to a targeted group of individuals, selected by the commission, with a medical condition that would improve with home-delivered meals.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resources, the commission may spend not more than $2 million to develop and implement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the pilot program in one urban and one rural region of the state, selected by the commission based on the availability of and need for home-delivered meal services. </w:t>
      </w:r>
      <w:r>
        <w:rPr>
          <w:u w:val="single"/>
        </w:rPr>
        <w:t xml:space="preserve"> </w:t>
      </w:r>
      <w:r>
        <w:rPr>
          <w:u w:val="single"/>
        </w:rPr>
        <w:t xml:space="preserve">Within each region, the commission shall ensure medically tailored meals are provided to one subset of individuals and standard meals are provided to the other subset of individuals.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practicable, the commission shall seek to contract with an entity that provides additional services along with home-delivered meal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operate the pilot program for one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track health outcomes of and the use of health care services by individuals participating in the pilot program and analyze the data to determine if the pilot program results in health care savings. </w:t>
      </w:r>
      <w:r>
        <w:rPr>
          <w:u w:val="single"/>
        </w:rPr>
        <w:t xml:space="preserve"> </w:t>
      </w:r>
      <w:r>
        <w:rPr>
          <w:u w:val="single"/>
        </w:rPr>
        <w:t xml:space="preserve">The commission shall partner with an institution of higher education to conduct the analysis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October 31, 2020, the commission shall prepare and submit to the legislature a report describing the results of the analysis under Subsection (f) and recommendations regarding the continuation or expansion of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December 31,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