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86R5999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obligations to fund certain Interstate Highway 35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201.943, Transportation Code, is amended by amending Subsection (l) and adding Subsection (m)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Except as otherwise provided by this subsection </w:t>
      </w:r>
      <w:r>
        <w:rPr>
          <w:u w:val="single"/>
        </w:rPr>
        <w:t xml:space="preserve">and Subsection (m)</w:t>
      </w:r>
      <w:r>
        <w:t xml:space="preserve">, obligations may not be issued under this section or Section 49-k, Article III, Texas Constitution, after January 1, 2015. The commission may issue obligations to refund: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outstanding obligations to provide savings to the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outstanding variable rate obligations and may renew or replace credit agreements relating to the variable rate obligations.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Obligations may be issued under this section in an aggregate principal amount of $1.5 billion to fund projects on Interstate Highway 35 between State Highway 45 North and State Highway 45 Southeast.  Any managed lane included in a project described by this subsection must provide free use of the lane to a public transit motor bus of a mass transit entity operating under Subtitle K if the managed lane is on a portion of the project that is funded with proceeds of obligations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222.003, Transportation Code, is amended by amending Subsection (b) and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the</w:t>
      </w:r>
      <w:r>
        <w:t xml:space="preserve"> [</w:t>
      </w:r>
      <w:r>
        <w:rPr>
          <w:strike/>
        </w:rPr>
        <w:t xml:space="preserve">The</w:t>
      </w:r>
      <w:r>
        <w:t xml:space="preserve">] aggregate principal amount of the bonds and other public securities that are issued may not exceed $6 billion.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amount authorized under Subsection (b), the commission may issue bonds and other public securities in an aggregate principal amount of $3 billion to fund projects on Interstate Highway 35 between State Highway 45 North and State Highway 45 Southeast.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 xml:space="preserve">
        <w:t> </w:t>
      </w:r>
      <w:r xml:space="preserve">
        <w:t> </w:t>
      </w:r>
      <w:r>
        <w:t xml:space="preserve">The commission may only issue bonds or other public securities in an aggregate principal amount of not more than $1.5 billion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