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enter into a comprehensive development agreement for a project on Interstate Highway 35 in Travis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223.201(f), (g), and (j),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Before the department may enter into a comprehensive development agreement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Subsection (f)</w:t>
      </w:r>
      <w:r>
        <w:t xml:space="preserve">],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project other than the State Highway 99 (Grand Parkway) project, obtain[</w:t>
      </w:r>
      <w:r>
        <w:rPr>
          <w:strike/>
        </w:rPr>
        <w:t xml:space="preserve">, not later than August 31, 2017,</w:t>
      </w:r>
      <w:r>
        <w:t xml:space="preserve">]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PROJECT.  (a)  The department may enter into a comprehensive development agreement for a project on  Interstate Highway 35 in Travis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managed lane included in a project described by Subsection (a) must provide free use of the lane to a public transit motor bus of a mass transit entity operating under Subtitle 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(k),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 FOR COMPREHENSIVE DEVELOPMENT AGREEMENTS.  (a)  A regional mobility authority may enter into a comprehensive development agreement for a project on Interstate Highway 35 in Travis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managed lane included in a project described by Subsection (a) must provide free use of the lane to a public transit motor bus of a mass transit entity operating under Subtitle 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