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86R9121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1076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imposing an additional fee for the registration of an alternatively fueled vehicle.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502.198(a),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502.058, 502.060, 502.1911, 502.192, 502.356, [</w:t>
      </w:r>
      <w:r>
        <w:rPr>
          <w:strike/>
        </w:rPr>
        <w:t xml:space="preserve">and</w:t>
      </w:r>
      <w:r>
        <w:t xml:space="preserve">] 502.357</w:t>
      </w:r>
      <w:r>
        <w:rPr>
          <w:u w:val="single"/>
        </w:rPr>
        <w:t xml:space="preserve">, and 502.360</w:t>
      </w:r>
      <w:r>
        <w:t xml:space="preserve"> and Subchapter H, this section applies to all fees collected by a county assessor-collector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502, Transportation Code, is amended by adding Section 502.360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502.360.</w:t>
      </w:r>
      <w:r>
        <w:rPr>
          <w:u w:val="single"/>
        </w:rPr>
        <w:t xml:space="preserve"> </w:t>
      </w:r>
      <w:r>
        <w:rPr>
          <w:u w:val="single"/>
        </w:rPr>
        <w:t xml:space="preserve"> </w:t>
      </w:r>
      <w:r>
        <w:rPr>
          <w:u w:val="single"/>
        </w:rPr>
        <w:t xml:space="preserve">ADDITIONAL FEE FOR ALTERNATIVELY FUELED VEHICLES.  (a)  In this section, "alternatively fueled vehicle" has the meaning assigned by Section 502.004.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fees authorized under this chapter, at the time of application for registration or renewal of registration of an alternatively fueled vehicle, the applicant shall pay an additional fee as determined by the department under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for each class of vehicle registered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methodology for determining the fee under Subsection (b) that calculates the fee based on the average annual amount of taxes imposed under Chapter 162, Tax Code, that an alternatively fueled vehicle of that class of vehicle would pay if the vehicle operated only on gasoline or diesel fuel;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the fee in an amount of not less than 75 percent and not more than 85 percent of the amount calculated under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review and update each fee calculated under Subsection (c) at least once every five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alternatively fueled vehicle that may be registered under this chapter without payment of a registration fee may be registered without payment of the additional fee.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additional fee shall be collected for an alternatively fueled vehicle when other fees imposed under this chapter are collected.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Fees collected under this section shall be deposited to the credit of the state highway fund.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shall adopt rules necessary to administer registration for an alternatively fueled vehicle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