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1082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Natural Resources &amp; Economic Development; March</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11, Nays</w:t>
      </w:r>
      <w:r xml:space="preserve">
        <w:t> </w:t>
      </w:r>
      <w:r>
        <w:t xml:space="preserve">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legislature shall establish a joint interim committee to continue to study the feasibility and desirability of creating and maintaining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2020,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11,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June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