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 Health and Safety Code, is amended by amending Subsections (c) and (e) and adding Subsections (e-1) and (g) to read as follows: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w:t>
      </w:r>
      <w:r>
        <w:rPr>
          <w:u w:val="single"/>
        </w:rPr>
        <w:t xml:space="preserve">or (e-1), whichever yields the greater amount</w:t>
      </w:r>
      <w:r>
        <w:t xml:space="preserve">.  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(e)</w:t>
      </w:r>
      <w:r xml:space="preserve">
        <w:t> </w:t>
      </w:r>
      <w:r xml:space="preserve">
        <w:t> </w:t>
      </w:r>
      <w:r>
        <w:rPr>
          <w:u w:val="single"/>
        </w:rPr>
        <w:t xml:space="preserve">Unless Subsection (e-1) would yield a greater amount, the</w:t>
      </w:r>
      <w:r>
        <w:t xml:space="preserve"> [</w:t>
      </w:r>
      <w:r>
        <w:rPr>
          <w:strike/>
        </w:rPr>
        <w:t xml:space="preserve">The</w:t>
      </w:r>
      <w:r>
        <w:t xml:space="preserv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of compensation under Subsection (c) shall be determined under Subsection (e) regardless of whether Subsection (e-1) would yield a greater amount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is a municipality described by Section 775.014(h);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and the district enter into an agreement on or before September 1, 2019, regarding the district's bonded and other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8437.002(d),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9036.002(d),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9042.002(d),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1083 passed the Senate on April</w:t>
      </w:r>
      <w:r xml:space="preserve">
        <w:t> </w:t>
      </w:r>
      <w:r>
        <w:t xml:space="preserve">26,</w:t>
      </w:r>
      <w:r xml:space="preserve">
        <w:t> </w:t>
      </w:r>
      <w:r>
        <w:t xml:space="preserve">2019, by the following vote:  Yeas</w:t>
      </w:r>
      <w:r xml:space="preserve">
        <w:t> </w:t>
      </w:r>
      <w:r>
        <w:t xml:space="preserve">30,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1083 passed the House, with amendment, on May</w:t>
      </w:r>
      <w:r xml:space="preserve">
        <w:t> </w:t>
      </w:r>
      <w:r>
        <w:t xml:space="preserve">22,</w:t>
      </w:r>
      <w:r xml:space="preserve">
        <w:t> </w:t>
      </w:r>
      <w:r>
        <w:t xml:space="preserve">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