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86R12955 PMO-F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health insurance risk pool for certain health benefit plan enrollees; authorizing an assessment.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HEALTH INSURANCE RISK POOL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1511.001.</w:t>
      </w:r>
      <w:r>
        <w:rPr>
          <w:u w:val="single"/>
        </w:rPr>
        <w:t xml:space="preserve"> </w:t>
      </w:r>
      <w:r>
        <w:rPr>
          <w:u w:val="single"/>
        </w:rPr>
        <w:t xml:space="preserve"> </w:t>
      </w:r>
      <w:r>
        <w:rPr>
          <w:u w:val="single"/>
        </w:rPr>
        <w:t xml:space="preserve">DEFINITION.  In this chapter, "pool" means a health insurance risk pool established and administered by the commissioner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1511.002.</w:t>
      </w:r>
      <w:r>
        <w:rPr>
          <w:u w:val="single"/>
        </w:rPr>
        <w:t xml:space="preserve"> </w:t>
      </w:r>
      <w:r>
        <w:rPr>
          <w:u w:val="single"/>
        </w:rPr>
        <w:t xml:space="preserve"> </w:t>
      </w:r>
      <w:r>
        <w:rPr>
          <w:u w:val="single"/>
        </w:rPr>
        <w:t xml:space="preserve">ESTABLISHMENT OF HEALTH INSURANCE RISK POOL.  To the extent that federal funds are available,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the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federal funds to establish and administer a pool for the purpose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1511.003.</w:t>
      </w:r>
      <w:r>
        <w:rPr>
          <w:u w:val="single"/>
        </w:rPr>
        <w:t xml:space="preserve"> </w:t>
      </w:r>
      <w:r>
        <w:rPr>
          <w:u w:val="single"/>
        </w:rPr>
        <w:t xml:space="preserve"> </w:t>
      </w:r>
      <w:r>
        <w:rPr>
          <w:u w:val="single"/>
        </w:rPr>
        <w:t xml:space="preserve">PURPOSE OF POOL.  (a)  The purpose of the pool is to provide a mechanism to meaningfully reduce health insurance premiums in the individual health insurance market by maximizing available federal funds to assist residents of this state to obtain guaranteed issue health benefit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pool may not be used to expand the Medicaid program, including the program administered under Chapter 32, Human Resources Code, and the program administered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1511.004.</w:t>
      </w:r>
      <w:r>
        <w:rPr>
          <w:u w:val="single"/>
        </w:rPr>
        <w:t xml:space="preserve"> </w:t>
      </w:r>
      <w:r>
        <w:rPr>
          <w:u w:val="single"/>
        </w:rPr>
        <w:t xml:space="preserve"> </w:t>
      </w:r>
      <w:r>
        <w:rPr>
          <w:u w:val="single"/>
        </w:rPr>
        <w:t xml:space="preserve">METHODS TO REDUCE PREMIUM IN THE INDIVIDUAL MARKET.  Subject to any requirements to obtain federal funds for the pool, the commissioner may use money from the pool to achieve lower enrollee premium rates by providing to health benefit plan issuers writing guaranteed issue coverage in the individual market: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reinsurance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funding if the health benefit plan issuer's plan provides coverage for individuals described by Section 1511.005.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w:t>
      </w:r>
      <w:r>
        <w:rPr>
          <w:u w:val="single"/>
        </w:rPr>
        <w:t xml:space="preserve"> </w:t>
      </w:r>
      <w:r>
        <w:rPr>
          <w:u w:val="single"/>
        </w:rPr>
        <w:t xml:space="preserve"> </w:t>
      </w:r>
      <w:r>
        <w:rPr>
          <w:u w:val="single"/>
        </w:rPr>
        <w:t xml:space="preserve">ACCESS TO GUARANTEED ISSUE COVERAGE.  The commissioner shall use pool funds to enhance enrollment in guaranteed issue coverage in the individual market in a manner that ensures that the benefits and cost-sharing protections available in the individual market are maintained in the same manner the benefits and protections would be maintained without the waiver described by Section 1511.020.</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1511.006.</w:t>
      </w:r>
      <w:r>
        <w:rPr>
          <w:u w:val="single"/>
        </w:rPr>
        <w:t xml:space="preserve"> </w:t>
      </w:r>
      <w:r>
        <w:rPr>
          <w:u w:val="single"/>
        </w:rPr>
        <w:t xml:space="preserve"> </w:t>
      </w:r>
      <w:r>
        <w:rPr>
          <w:u w:val="single"/>
        </w:rPr>
        <w:t xml:space="preserve">CONTRACTS AND AGREEMENTS.  The commissioner may enter into a contract or agreement that the commissioner determines is appropriate to carry out this chapter, including a contract or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similar pool in another state for the joint performance of common administrative functions;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organization for the performance of administrative functions;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1511.007.</w:t>
      </w:r>
      <w:r>
        <w:rPr>
          <w:u w:val="single"/>
        </w:rPr>
        <w:t xml:space="preserve"> </w:t>
      </w:r>
      <w:r>
        <w:rPr>
          <w:u w:val="single"/>
        </w:rPr>
        <w:t xml:space="preserve"> </w:t>
      </w:r>
      <w:r>
        <w:rPr>
          <w:u w:val="single"/>
        </w:rPr>
        <w:t xml:space="preserve">FUNDING.  (a)  The commissioner may use funds appropriated to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federal funds and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6(e)(2)(B), Chapter 615 (S.B. 1367), Acts of the 83rd Legislature, Regular Session, 2013, the commissioner may use money appropriated to the department from the healthy Texas small employer premium stabilization fund for the exclusive purposes of this chapter, other than for paying salaries and salary-related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6(e)(2)(B), Chapter 615 (S.B. 1367), Acts of the 83rd Legislature, Regular Session, 2013, the commissioner shall transfer money from the healthy Texas small employer premium stabilization fund to the Texas Department of Insurance operating account in an amount equal to the amount of money appropriated to the department from that fund, as described by Subsection (b), for the direct and indirect costs of the exclusive purposes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Subsections (a) and (b), the commissioner may not use any state funds to fund the pool unless the funds are specifically appropriated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1511.008.</w:t>
      </w:r>
      <w:r>
        <w:rPr>
          <w:u w:val="single"/>
        </w:rPr>
        <w:t xml:space="preserve"> </w:t>
      </w:r>
      <w:r>
        <w:rPr>
          <w:u w:val="single"/>
        </w:rPr>
        <w:t xml:space="preserve"> </w:t>
      </w:r>
      <w:r>
        <w:rPr>
          <w:u w:val="single"/>
        </w:rPr>
        <w:t xml:space="preserve">ASSESSMENTS.  (a)  The commissioner may assess health benefit plan issuers, including making advance interim assessments, as reasonable and necessary for the pool's organizational and interim operating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credit an interim assessment as an offset against any regular assessment that is due after the end of the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regular assessment is the amount determined by the commissioner under Section 1511.009 and recovered from health benefit plan issuers under Section 1511.013.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1511.009.</w:t>
      </w:r>
      <w:r>
        <w:rPr>
          <w:u w:val="single"/>
        </w:rPr>
        <w:t xml:space="preserve"> </w:t>
      </w:r>
      <w:r>
        <w:rPr>
          <w:u w:val="single"/>
        </w:rPr>
        <w:t xml:space="preserve"> </w:t>
      </w:r>
      <w:r>
        <w:rPr>
          <w:u w:val="single"/>
        </w:rPr>
        <w:t xml:space="preserve">DETERMINATION OF POOL FUNDING REQUIREMENTS.  After the end of each fiscal year, the commissioner shall determine for the next calendar year the amount of money required by the pool to reduce the amount of premiums the enrollee would otherwise pay in that year by 15 percent in accordance with this chapter after applying the federal funds obtained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w:t>
      </w:r>
      <w:r>
        <w:rPr>
          <w:u w:val="single"/>
        </w:rPr>
        <w:t xml:space="preserve"> </w:t>
      </w:r>
      <w:r>
        <w:rPr>
          <w:u w:val="single"/>
        </w:rPr>
        <w:t xml:space="preserve"> </w:t>
      </w:r>
      <w:r>
        <w:rPr>
          <w:u w:val="single"/>
        </w:rPr>
        <w:t xml:space="preserve">ANNUAL REPORT TO COMMISSIONER.  Each health benefit plan issuer shall report to the commissioner the information requested by the commissioner, as of December 31 of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1511.011.</w:t>
      </w:r>
      <w:r>
        <w:rPr>
          <w:u w:val="single"/>
        </w:rPr>
        <w:t xml:space="preserve"> </w:t>
      </w:r>
      <w:r>
        <w:rPr>
          <w:u w:val="single"/>
        </w:rPr>
        <w:t xml:space="preserve"> </w:t>
      </w:r>
      <w:r>
        <w:rPr>
          <w:u w:val="single"/>
        </w:rPr>
        <w:t xml:space="preserve">ANNUAL REPORT TO COMMISSIONER: ENROLLED INDIVIDUALS.  (a)  Each health benefit plan issuer shall report to the commissioner the number of residents of this state enrolled, as of December 31 of the previous year, in the issuer's health benefit plans providing coverage for residents in this state,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under a group health benefit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policyholder or subscriber.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number of individuals to report under Subsection (a)(1), the health benefit plan issuer shall include each employee for whom a premium is paid and coverage is provided under an excess loss, stop-loss, or reinsurance policy issued by the issuer to an employer or group health benefit plan providing coverage for employees in this state.  A health benefit plan issuer providing excess loss insurance, stop-loss insurance, or reinsurance, as described by this subsection, for a primary health benefit plan issuer may not report individuals reported by the primary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Ten employees covered by a health plan issuer under a policy of excess loss insurance, stop-loss insurance, or reinsurance count as one employee for purposes of determining that health plan issuer's assessment.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number of individuals to report under this section, the health benefit plan issuer shall exclude: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dependents of the employee or an individual policyholder or subscriber;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are covered by the health benefit plan issuer under a Medicare supplement benefit plan subject to Chapter 1652.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the number of enrolled individuals to report under this section, the health benefit plan issuer shall exclude individuals who are retired employees 65 years of age or 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1511.012.</w:t>
      </w:r>
      <w:r>
        <w:rPr>
          <w:u w:val="single"/>
        </w:rPr>
        <w:t xml:space="preserve"> </w:t>
      </w:r>
      <w:r>
        <w:rPr>
          <w:u w:val="single"/>
        </w:rPr>
        <w:t xml:space="preserve"> </w:t>
      </w:r>
      <w:r>
        <w:rPr>
          <w:u w:val="single"/>
        </w:rPr>
        <w:t xml:space="preserve">ANNUAL REPORT TO COMMISSIONER: GROSS PREMIUMS.  (a)  Each health benefit plan issuer shall report to the commissioner the gross premiums collected for the preceding calendar year for health benefit plans.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gross health benefit plan premiums do not include premiums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coverage under a Medicare supplement benefit plan subject to Chapter 1652;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coverage under a small employer health benefit plan subject to Chapter 1501;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accident or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a specified disease or illness;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long-term care policy, including a nursing home fixed indemnity policy, unless the commissioner determines that the policy provides comprehensive health benefit plan coverage;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liability insurance coverage, including general liability insurance and automobile liability insurance;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coverage for on-site medical clinics;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insurance coverage under which benefits are payable with or without regard to fault and that is statutorily required to be contained in a liability insurance policy or equivalent self-insurance;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other similar insurance coverage, as specified by federal regulations issued under the Health Insurance Portability and Accountability Act of 1996 (Pub. L. No. 104-191), under which benefits for medical care are secondary or incidental to other insurance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1511.013.</w:t>
      </w:r>
      <w:r>
        <w:rPr>
          <w:u w:val="single"/>
        </w:rPr>
        <w:t xml:space="preserve"> </w:t>
      </w:r>
      <w:r>
        <w:rPr>
          <w:u w:val="single"/>
        </w:rPr>
        <w:t xml:space="preserve"> </w:t>
      </w:r>
      <w:r>
        <w:rPr>
          <w:u w:val="single"/>
        </w:rPr>
        <w:t xml:space="preserve">ASSESSMENTS TO COVER POOL FUNDING REQUIREMENTS.  (a)  The commissioner shall recover an amount equal to the funding required as estimated under Section 1511.009 by assessing each health benefit plan issuer an amount determined annually by the commissioner based on information in annual statements, the health benefit plan issuer's annual report to the commissioner under Sections 1511.010 and 1511.011, and any other reports required by and filed with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use the total number of enrolled individuals reported by all health benefit plan issuers under Section 1511.011 as of the preceding December 31 to compute the amount of a health benefit plan issuer's assessment, if any, in accordance with this subsection.  The commissioner shall allocate the total amount to be assessed based on the total number of enrolled individuals covered by excess loss, stop-loss, or reinsurance policies and on the total number of other enrolled individuals as determined under Section 1511.011.  To compute the amount of a health benefit plan issuer's assessment: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issuer's enrolled individuals covered by an excess loss, stop-loss, or reinsurance policy, the commissioner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allocated amount to be assessed by the total number of enrolled individuals covered by excess loss, stop-loss, or reinsurance policies, as determined under Section 1511.011, to determine the per capita amount;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number of a health benefit plan issuer's enrolled individuals covered by an excess loss, stop-loss, or reinsurance policy, as determined under Section 1511.011, by the per capita amount to determine the amount assessed to that health benefit plan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issuer's enrolled individuals not covered by excess loss, stop-loss, or reinsurance policies, the commissioner, using the gross health benefit plan premiums reported for the preceding calendar year by health benefit plan issuers under Section 1511.012,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gross premium collected by a health benefit plan issuer by the gross premium collected by all health benefit plan issuers;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allocated amount to be assessed by the fraction computed under Paragraph (A) to determine the amount assessed to that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small employer health benefit plan subject to Chapter 1501 is not subject to an assessment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1511.014.</w:t>
      </w:r>
      <w:r>
        <w:rPr>
          <w:u w:val="single"/>
        </w:rPr>
        <w:t xml:space="preserve"> </w:t>
      </w:r>
      <w:r>
        <w:rPr>
          <w:u w:val="single"/>
        </w:rPr>
        <w:t xml:space="preserve"> </w:t>
      </w:r>
      <w:r>
        <w:rPr>
          <w:u w:val="single"/>
        </w:rPr>
        <w:t xml:space="preserve">ASSESSMENT DUE DATE; INTEREST.  (a)  An assessment is due on the date specified by the commissioner that is not earlier than the 30th day after the date written notice of the assessment is transmitted to the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Interest accrues on the unpaid amount of an assessment at a rate equal to the prime lending rate, as published in the most recent issue of the Wall Street Journal and determined as of the first day of each month during which the assessment is delinquent, plus three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w:t>
      </w:r>
      <w:r>
        <w:rPr>
          <w:u w:val="single"/>
        </w:rPr>
        <w:t xml:space="preserve"> </w:t>
      </w:r>
      <w:r>
        <w:rPr>
          <w:u w:val="single"/>
        </w:rPr>
        <w:t xml:space="preserve"> </w:t>
      </w:r>
      <w:r>
        <w:rPr>
          <w:u w:val="single"/>
        </w:rPr>
        <w:t xml:space="preserve">ABATEMENT OR DEFERMENT OF ASSESSMENT.  (a)  A health benefit plan issuer may petition the commissioner for an abatement or deferment of all or part of an assessment imposed by the commissioner.  The commissioner may abate or defer all or part of the assessment if the commissioner determines that payment of the assessment would endanger the ability of the health benefit plan issuer to fulfill its contractual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all or part of an assessment against a health benefit plan issuer is abated or deferred, the amount of the abatement or deferment shall be assessed against the other health benefit plan issuers in a manner consistent with the method for computing assessments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receiving an abatement or deferment under this section remains liable to the pool for the deficiency.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1511.016.</w:t>
      </w:r>
      <w:r>
        <w:rPr>
          <w:u w:val="single"/>
        </w:rPr>
        <w:t xml:space="preserve"> </w:t>
      </w:r>
      <w:r>
        <w:rPr>
          <w:u w:val="single"/>
        </w:rPr>
        <w:t xml:space="preserve"> </w:t>
      </w:r>
      <w:r>
        <w:rPr>
          <w:u w:val="single"/>
        </w:rPr>
        <w:t xml:space="preserve">USE OF EXCESS FROM ASSESSMENTS.  If the total amount of the assessments exceeds the pool's actual losses and administrative expenses, the commissioner shall credit each health benefit plan issuer with the excess in an amount proportionate to the amount the health benefit plan issuer paid in assessments.  The credit may be paid to the health benefit plan issuer or applied to future assessments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1511.017.</w:t>
      </w:r>
      <w:r>
        <w:rPr>
          <w:u w:val="single"/>
        </w:rPr>
        <w:t xml:space="preserve"> </w:t>
      </w:r>
      <w:r>
        <w:rPr>
          <w:u w:val="single"/>
        </w:rPr>
        <w:t xml:space="preserve"> </w:t>
      </w:r>
      <w:r>
        <w:rPr>
          <w:u w:val="single"/>
        </w:rPr>
        <w:t xml:space="preserve">COLLECTION OF ASSESSMENTS.  The pool may recover or collect assessments made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1511.018.</w:t>
      </w:r>
      <w:r>
        <w:rPr>
          <w:u w:val="single"/>
        </w:rPr>
        <w:t xml:space="preserve"> </w:t>
      </w:r>
      <w:r>
        <w:rPr>
          <w:u w:val="single"/>
        </w:rPr>
        <w:t xml:space="preserve"> </w:t>
      </w:r>
      <w:r>
        <w:rPr>
          <w:u w:val="single"/>
        </w:rPr>
        <w:t xml:space="preserve">PROCEDURES, CRITERIA, AND FORMS.  The commissioner by rule shall provide the procedures, criteria, and forms necessary to implement, collect, and deposit assessments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1511.019.</w:t>
      </w:r>
      <w:r>
        <w:rPr>
          <w:u w:val="single"/>
        </w:rPr>
        <w:t xml:space="preserve"> </w:t>
      </w:r>
      <w:r>
        <w:rPr>
          <w:u w:val="single"/>
        </w:rPr>
        <w:t xml:space="preserve"> </w:t>
      </w:r>
      <w:r>
        <w:rPr>
          <w:u w:val="single"/>
        </w:rPr>
        <w:t xml:space="preserve">PUBLIC EDUCATION AND OUTREACH.  (a)  The commissioner may use funds appropriated to the department for the exclusive purposes of this chapter to develop and implement public education, outreach, and facilitated enrollment strategies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contract with marketing organizations to perform or provide assistance with the strategies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w:t>
      </w:r>
      <w:r>
        <w:rPr>
          <w:u w:val="single"/>
        </w:rPr>
        <w:t xml:space="preserve"> </w:t>
      </w:r>
      <w:r>
        <w:rPr>
          <w:u w:val="single"/>
        </w:rPr>
        <w:t xml:space="preserve"> </w:t>
      </w:r>
      <w:r>
        <w:rPr>
          <w:u w:val="single"/>
        </w:rPr>
        <w:t xml:space="preserve">WAIVER.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United States secretary of health and human services under 42 U.S.C. Section 18052 for a waiver of applicable provisions of the Patient Protection and Affordable Care Act (Pub. L. No. 111-148) and any applicable regulations or guidance;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any action the commissioner considers appropriate to make an application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 state plan that meets the requirements of a waiver granted in response to an application under Subdivision (1) if the plan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consistent with state and 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approved by the United States secretary of health and human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1511.021.</w:t>
      </w:r>
      <w:r>
        <w:rPr>
          <w:u w:val="single"/>
        </w:rPr>
        <w:t xml:space="preserve"> </w:t>
      </w:r>
      <w:r>
        <w:rPr>
          <w:u w:val="single"/>
        </w:rPr>
        <w:t xml:space="preserve"> </w:t>
      </w:r>
      <w:r>
        <w:rPr>
          <w:u w:val="single"/>
        </w:rPr>
        <w:t xml:space="preserve">AUTHORITY TO ACT AS REINSURER.  In addition to the powers granted to the commissioner under this chapter, the commissioner may exercise any authority that may be exercised under the law of this state by a reinsurer.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1511.022.</w:t>
      </w:r>
      <w:r>
        <w:rPr>
          <w:u w:val="single"/>
        </w:rPr>
        <w:t xml:space="preserve"> </w:t>
      </w:r>
      <w:r>
        <w:rPr>
          <w:u w:val="single"/>
        </w:rPr>
        <w:t xml:space="preserve"> </w:t>
      </w:r>
      <w:r>
        <w:rPr>
          <w:u w:val="single"/>
        </w:rPr>
        <w:t xml:space="preserve">RULES.  The commissioner may adopt rules necessary to implement this chapter, including rules to administer the pool and distribute money from the pool.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1511.023.</w:t>
      </w:r>
      <w:r>
        <w:rPr>
          <w:u w:val="single"/>
        </w:rPr>
        <w:t xml:space="preserve"> </w:t>
      </w:r>
      <w:r>
        <w:rPr>
          <w:u w:val="single"/>
        </w:rPr>
        <w:t xml:space="preserve"> </w:t>
      </w:r>
      <w:r>
        <w:rPr>
          <w:u w:val="single"/>
        </w:rPr>
        <w:t xml:space="preserve">EXEMPTION FROM STATE TAXES AND FEES.  Notwithstanding any other law, a program created under this chapter is not subject to any state tax, regulatory fee, or surcharge, including a premium or maintenance tax or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1511.024.</w:t>
      </w:r>
      <w:r>
        <w:rPr>
          <w:u w:val="single"/>
        </w:rPr>
        <w:t xml:space="preserve"> </w:t>
      </w:r>
      <w:r>
        <w:rPr>
          <w:u w:val="single"/>
        </w:rPr>
        <w:t xml:space="preserve"> </w:t>
      </w:r>
      <w:r>
        <w:rPr>
          <w:u w:val="single"/>
        </w:rPr>
        <w:t xml:space="preserve">ANNUAL REPORT OF POOL ACTIVITIES.  (a)  Beginning June 1, 2020, not later than June 1 of each year, the department shall submit a report to the governor, the lieutenant governor, and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submitted under Subsection (a) must summarize the activities conducted under this chapter in the calendar year preceding the year in which the report is submitted.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6(d)(2), Chapter 615 (S.B. 1367), Acts of the 83rd Legislature, Regular Session, 2013, on the effective date of this Act, the commissioner of insurance shall transfer any money remaining outside the state treasury in the Texas Treasury Safekeeping Trust Company account established under Section 6(c), Chapter 615 (S.B. 1367), Acts of the 83rd Legislature, Regular Session, 2013, to the health insurance risk pool established by Chapter 1511,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