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Property Tax;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4, Nays 1;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1090</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vote required to authorize the issuance of certain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 Election Code, is amended to read as follows:</w:t>
      </w:r>
    </w:p>
    <w:p w:rsidR="003F3435" w:rsidRDefault="0032493E">
      <w:pPr>
        <w:spacing w:line="480" w:lineRule="auto"/>
        <w:jc w:val="center"/>
      </w:pPr>
      <w:r>
        <w:t xml:space="preserve">CHAPTER 2. </w:t>
      </w:r>
      <w:r>
        <w:t xml:space="preserve"> </w:t>
      </w:r>
      <w:r>
        <w:t xml:space="preserve">VOTE REQUIRED FOR ELECTION [</w:t>
      </w:r>
      <w:r>
        <w:rPr>
          <w:strike/>
        </w:rPr>
        <w:t xml:space="preserve">TO OFFICE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SUPERMAJORITY REQUIREMENT FOR CERTAIN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POLITICAL SUBDIVISION BOND ELECTION.  Notwithstanding any other law, an election held by a political subdivision to authorize the issuance of bonds does not authorize the issuance of the bonds unless at least three-fifths of the voters voting in the election vote in favor of authorizing the issuance of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an election ordered on or after the effective date of this Act. </w:t>
      </w:r>
      <w:r>
        <w:t xml:space="preserve"> </w:t>
      </w:r>
      <w:r>
        <w:t xml:space="preserve">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