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86R5877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vehicles eligible for veteran toll discount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 may establish a discount program for electronic toll collection customers. </w:t>
      </w:r>
      <w:r>
        <w:t xml:space="preserve"> </w:t>
      </w:r>
      <w:r>
        <w:t xml:space="preserve">The program must include free or discounted use of the entity's toll project by an electronic toll collection customer </w:t>
      </w:r>
      <w:r>
        <w:rPr>
          <w:u w:val="single"/>
        </w:rPr>
        <w:t xml:space="preserve">operating, as designated by the Department of Motor Vehicles: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whose account relates to</w:t>
      </w:r>
      <w:r>
        <w:t xml:space="preserve">] a vehicle registered</w:t>
      </w:r>
      <w:r xml:space="preserve">
        <w:t> </w:t>
      </w:r>
      <w:r>
        <w:t xml:space="preserve">under Section </w:t>
      </w:r>
      <w:r>
        <w:rPr>
          <w:u w:val="single"/>
        </w:rPr>
        <w:t xml:space="preserve">504.202(a) or (c);</w:t>
      </w:r>
      <w:r>
        <w:t xml:space="preserve"> </w:t>
      </w:r>
      <w:r>
        <w:t xml:space="preserve">[</w:t>
      </w:r>
      <w:r>
        <w:rPr>
          <w:strike/>
        </w:rPr>
        <w:t xml:space="preserve">504.202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registered under Section</w:t>
      </w:r>
      <w:r>
        <w:t xml:space="preserve"> </w:t>
      </w:r>
      <w:r>
        <w:t xml:space="preserve">504.315(f) or (g) </w:t>
      </w:r>
      <w:r>
        <w:rPr>
          <w:u w:val="single"/>
        </w:rPr>
        <w:t xml:space="preserve">for which a fee exemption was granted under Section 504.3015(a)(2)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