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Medicaid managed care program, including the provision of pharmacy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533.00253, Government Code, is amended by adding Subsections (m) and (n)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or a successor committee shall explore the feasibility of adopting a private duty nursing assessment for use in the STAR Kids managed care program and provide recommendations to the commission on adopting a private duty nursing assessment tool that would streamline the documentation for prior authorization of private duty nursing.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at least once every two years, shall conduct a utilization review on a sample of cases for children enrolled in the STAR Kids managed care program to ensure that all imposed clinical prior authorizations are based on publicly available clinical criteria and are not being used to negatively impact a recipient's access to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533.002821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533.002821.</w:t>
      </w:r>
      <w:r>
        <w:rPr>
          <w:u w:val="single"/>
        </w:rPr>
        <w:t xml:space="preserve"> </w:t>
      </w:r>
      <w:r>
        <w:rPr>
          <w:u w:val="single"/>
        </w:rPr>
        <w:t xml:space="preserve"> </w:t>
      </w:r>
      <w:r>
        <w:rPr>
          <w:u w:val="single"/>
        </w:rPr>
        <w:t xml:space="preserve">PRIOR AUTHORIZATION PROCEDURES FOR HOSPITALIZED RECIPIENT. </w:t>
      </w:r>
      <w:r>
        <w:rPr>
          <w:u w:val="single"/>
        </w:rPr>
        <w:t xml:space="preserve"> </w:t>
      </w:r>
      <w:r>
        <w:rPr>
          <w:u w:val="single"/>
        </w:rPr>
        <w:t xml:space="preserve">In addition to the requirements of Section 533.005, a contract between a managed care organization and the commission described by that section must require that, notwithstanding any other law, the organization review and issue determinations on prior authorization requests with respect to a recipient who is hospitalized at the time of the request according to the following time frames: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one business day after receiving the request, except as provided by Subdivisions (2) and (3);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72 hours after receiving the request if the request is submitted by a provider of acute care inpatient services for services or equipment necessary to discharge the recipient from an inpatient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one hour after receiving the request if the request is related to poststabilization care or a life-threatening condition.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w:t>
      </w:r>
      <w:r>
        <w:rPr>
          <w:u w:val="single"/>
        </w:rPr>
        <w:t xml:space="preserve">or, as applicable, the national core indicators adult consumer survey and the national core indicators child family survey for individuals with an intellectual or developmental disability</w:t>
      </w:r>
      <w:r>
        <w:t xml:space="preserve">;</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rPr>
          <w:u w:val="single"/>
        </w:rPr>
        <w:t xml:space="preserve">, except as provided by Paragraph (L)(ii),</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w:t>
      </w:r>
      <w:r>
        <w:rPr>
          <w:u w:val="single"/>
        </w:rPr>
        <w:t xml:space="preserve">, except as provided by Paragraph (L)(i),</w:t>
      </w:r>
      <w:r>
        <w:t xml:space="preserve">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w:t>
      </w:r>
      <w:r>
        <w:rPr>
          <w:u w:val="single"/>
        </w:rPr>
        <w:t xml:space="preserve">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under which the managed care organization or pharmacy benefit manager,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guidance and additional education to managed care organizations with which the commission enters into contracts described by Subsection (a) regarding requirements under federal law to continue to provide services during an internal appeal, a Medicaid fair hearing, or any other review.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533.002821, Government Code, as added by this Act, and Section 533.005, Government Code, as amended by this Act, apply only to a contract between the Health and Human Services Commission and a managed care organization under Chapter 533, Government Code,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but not later than September 1, 2020, the Health and Human Services Commission shall seek to amend contracts entered into with managed care organizations under Chapter 533, Government Code, before the effective date of this Act to include the provisions required by Section 533.002821, Government Code, as added by this Act, and Section 533.005,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1096 passed the Senate on May</w:t>
      </w:r>
      <w:r xml:space="preserve">
        <w:t> </w:t>
      </w:r>
      <w:r>
        <w:t xml:space="preserve">2,</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 May 20, 2019, Senate refused to concur in House amendments and requested appointment of Conference Committee; May 22, 2019, House granted request of the Senate; May 26, 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1096 passed the House, with amendments, on May 17, 2019, by the following vote:</w:t>
      </w:r>
      <w:r xml:space="preserve">
        <w:t> </w:t>
      </w:r>
      <w:r xml:space="preserve">
        <w:t> </w:t>
      </w:r>
      <w:r>
        <w:t xml:space="preserve">Yeas</w:t>
      </w:r>
      <w:r xml:space="preserve">
        <w:t> </w:t>
      </w:r>
      <w:r>
        <w:t xml:space="preserve">136, Nays</w:t>
      </w:r>
      <w:r xml:space="preserve">
        <w:t> </w:t>
      </w:r>
      <w:r>
        <w:t xml:space="preserve">10, one present not voting; May 22, 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144,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