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86R9144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1096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pharmacy benefits provided through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 ensure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p>
    <w:p w:rsidR="003F3435" w:rsidRDefault="0032493E">
      <w:pPr>
        <w:spacing w:line="480" w:lineRule="auto"/>
        <w:ind w:firstLine="2880"/>
        <w:jc w:val="both"/>
      </w:pPr>
      <w:r>
        <w:t xml:space="preserve">(i)</w:t>
      </w:r>
      <w:r xml:space="preserve">
        <w:t> </w:t>
      </w:r>
      <w:r xml:space="preserve">
        <w:t> </w:t>
      </w:r>
      <w:r>
        <w:t xml:space="preserve">the 10th day after the date the claim is received if the claim relates to services provided by a nursing facility, intermediate care facility, or group home;</w:t>
      </w:r>
    </w:p>
    <w:p w:rsidR="003F3435" w:rsidRDefault="0032493E">
      <w:pPr>
        <w:spacing w:line="480" w:lineRule="auto"/>
        <w:ind w:firstLine="2880"/>
        <w:jc w:val="both"/>
      </w:pPr>
      <w:r>
        <w:t xml:space="preserve">(ii)</w:t>
      </w:r>
      <w:r xml:space="preserve">
        <w:t> </w:t>
      </w:r>
      <w:r xml:space="preserve">
        <w:t> </w:t>
      </w:r>
      <w: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(iii)</w:t>
      </w:r>
      <w:r xml:space="preserve">
        <w:t> </w:t>
      </w:r>
      <w:r xml:space="preserve">
        <w:t> </w:t>
      </w:r>
      <w:r>
        <w:t xml:space="preserve">the 45th day after the date the claim is received if the claim is not subject to Subparagraph (i) or (ii); or</w:t>
      </w:r>
    </w:p>
    <w:p w:rsidR="003F3435" w:rsidRDefault="0032493E">
      <w:pPr>
        <w:spacing w:line="480" w:lineRule="auto"/>
        <w:ind w:firstLine="2160"/>
        <w:jc w:val="both"/>
      </w:pPr>
      <w:r>
        <w:t xml:space="preserve">(B)</w:t>
      </w:r>
      <w:r xml:space="preserve">
        <w:t> </w:t>
      </w:r>
      <w:r xml:space="preserve">
        <w:t> </w:t>
      </w:r>
      <w:r>
        <w:t xml:space="preserve">within a period, not to exceed 60 days, specified by a written agreement between the physician or provider and the managed care organization;</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(7)(A)(ii) on average not later than the 21st day after the date the claim is received by the organization;</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(7)(A)(ii)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t xml:space="preserve">regularly, as determined by the commission,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for its enrolled recipients:</w:t>
      </w:r>
    </w:p>
    <w:p w:rsidR="003F3435" w:rsidRDefault="0032493E">
      <w:pPr>
        <w:spacing w:line="480" w:lineRule="auto"/>
        <w:ind w:firstLine="2160"/>
        <w:jc w:val="both"/>
      </w:pPr>
      <w:r>
        <w:t xml:space="preserve">(A)</w:t>
      </w:r>
      <w:r xml:space="preserve">
        <w:t> </w:t>
      </w:r>
      <w:r xml:space="preserve">
        <w:t> </w:t>
      </w:r>
      <w:r>
        <w:t xml:space="preserve">that</w:t>
      </w:r>
      <w:r>
        <w:rPr>
          <w:u w:val="single"/>
        </w:rPr>
        <w:t xml:space="preserve">, except as provided by Paragraph (L)(ii),</w:t>
      </w:r>
      <w:r>
        <w:t xml:space="preserve"> </w:t>
      </w:r>
      <w:r>
        <w:t xml:space="preserve">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w:t>
      </w:r>
      <w:r>
        <w:rPr>
          <w:u w:val="single"/>
        </w:rPr>
        <w:t xml:space="preserve">, except as provided by Paragraph (L)(i),</w:t>
      </w:r>
      <w:r>
        <w:t xml:space="preserve"> includes the prior authorization procedures and requirements prescribed by or implemented under Sections 531.073(b), (c), and (g) for the vendor drug program;</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in accordance with Section 843.339, Insurance Code; [</w:t>
      </w:r>
      <w:r>
        <w:rPr>
          <w:strike/>
        </w:rPr>
        <w:t xml:space="preserve">and</w:t>
      </w:r>
      <w:r>
        <w:t xml:space="preserve">]</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the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w:t>
      </w:r>
      <w:r>
        <w:rPr>
          <w:strike/>
        </w:rPr>
        <w:t xml:space="preserve">,</w:t>
      </w:r>
      <w:r>
        <w:t xml:space="preserve">]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 </w:t>
      </w:r>
      <w:r>
        <w:rPr>
          <w:u w:val="single"/>
        </w:rPr>
        <w:t xml:space="preserve">and</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under which the managed care organization or pharmacy benefit manager, as applicable: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may not require a prior authorization, other than a clinical prior authorization, for or impose any other barriers to a drug that is prescribed to a medically fragile child for a particular disease or treatment and that is on the vendor drug program formulary, regardless of whether the drug is included in the preferred drug list adopted under Section 531.072;</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must provide for continued access to a drug prescribed to a child enrolled in the STAR Kids managed care program, regardless of whether the drug is on the vendor drug program formulary or, if applicable on or after August 31, 2023, the managed care organization's formulary;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may not use a protocol that requires a child enrolled in the STAR Kids managed care program to use a prescription drug or sequence of prescription drugs other than the drug that the child's physician recommends for the child's treatment before the managed care organization provides coverage for the recommended drug;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must pay liquidated damages to the commission for each failure, as determined by the commission, to comply with this paragraph in an amount that is a reasonable forecast of the damages caused by the noncompliance;</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w:t>
      </w:r>
      <w:r>
        <w:rPr>
          <w:u w:val="single"/>
        </w:rPr>
        <w:t xml:space="preserve">reductions</w:t>
      </w:r>
      <w:r>
        <w:t xml:space="preserve"> [</w:t>
      </w:r>
      <w:r>
        <w:rPr>
          <w:strike/>
        </w:rPr>
        <w:t xml:space="preserve">reduction</w:t>
      </w:r>
      <w:r>
        <w:t xml:space="preserve">];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533.005, Government Code, as amended by this Act, applies to a contract entered into or renewed on or after the effective date of this Act.  A contract entered into or renewed before that date is governed by the law in effect on the date the contract was entered into or renewed,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