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86R7820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1098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rates for electricity charged by certain municipally owned utilities and to the use of revenue from the rates.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 Utilities Code, is amended by adding Section 40.0521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40.0521.</w:t>
      </w:r>
      <w:r>
        <w:rPr>
          <w:u w:val="single"/>
        </w:rPr>
        <w:t xml:space="preserve"> </w:t>
      </w:r>
      <w:r>
        <w:rPr>
          <w:u w:val="single"/>
        </w:rPr>
        <w:t xml:space="preserve"> </w:t>
      </w:r>
      <w:r>
        <w:rPr>
          <w:u w:val="single"/>
        </w:rPr>
        <w:t xml:space="preserve">RATES OF AND USE OF REVENUE BY CERTAIN UTILITIES NOT OFFERING CUSTOMER CHOICE.  (a) </w:t>
      </w:r>
      <w:r>
        <w:rPr>
          <w:u w:val="single"/>
        </w:rPr>
        <w:t xml:space="preserve"> </w:t>
      </w:r>
      <w:r>
        <w:rPr>
          <w:u w:val="single"/>
        </w:rPr>
        <w:t xml:space="preserve">This section applies only to a municipally owned utility that provides service in the Capitol complex, as defined by Section 443.0071,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require a municipally owned utility to implement or opt for customer choice.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case of a conflict between this section and another provision of law, this section prevails.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municipally owned utility may not directly or indirectly subsidize wholesale competitive activities through rates charged for the provision of retail electric service that include fixed or variable costs reasonably attributable to the operation and maintenance of municipally owned utility assets that generate energy for sale at wholesale.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by rule shall require a municipally owned utility to submit to the commission information to allow the commission to determine whether the municipally owned utility is complying with the requirements of Subsection (d). </w:t>
      </w:r>
      <w:r>
        <w:rPr>
          <w:u w:val="single"/>
        </w:rPr>
        <w:t xml:space="preserve"> </w:t>
      </w:r>
      <w:r>
        <w:rPr>
          <w:u w:val="single"/>
        </w:rPr>
        <w:t xml:space="preserve">The commission shall notify the municipal governing body or body vested with the power to manage and operate a municipally owned utility if the commission determines that the municipally owned utility is not complying with the requirements of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municipal governing body or a body vested with the power to manage and operate a municipally owned utility that receives notice from the commission under Subsection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require the municipally owned utility to comply with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 a manner consistent with Section 40.055(a)(4), reasonably determine the amount of the municipally owned utility's stranded investment and calculate and establish for the municipally owned utility a non-bypassable charge reflecting stranded costs properly attributable to the municipally owned utility's retail electric service customers.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relevant date for identifying stranded investment under Subsection (f) is November 30, 2010, instead of the date specified in Section 40.055(a)(4). </w:t>
      </w:r>
      <w:r>
        <w:rPr>
          <w:u w:val="single"/>
        </w:rPr>
        <w:t xml:space="preserve"> </w:t>
      </w:r>
      <w:r>
        <w:rPr>
          <w:u w:val="single"/>
        </w:rPr>
        <w:t xml:space="preserve">The amount and duration of the charge under Subsection (f)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calculated in a similar manner to that prescribed by Subchapter F, Chapter 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calculation of nuclear decommissioning costs as allowed by Sections 39.205 and 39.206;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municipally owned utility's capital and debt structure.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affected by a determination made under this section by a municipal governing body or a body vested with the power to manage and operate a municipally owned utility may appeal the determination to the commission by filing with the commission a petition for review not later than the 30th day after the date of the determination. </w:t>
      </w:r>
      <w:r>
        <w:rPr>
          <w:u w:val="single"/>
        </w:rPr>
        <w:t xml:space="preserve"> </w:t>
      </w:r>
      <w:r>
        <w:rPr>
          <w:u w:val="single"/>
        </w:rPr>
        <w:t xml:space="preserve">An appeal under this section is de novo. </w:t>
      </w:r>
      <w:r>
        <w:rPr>
          <w:u w:val="single"/>
        </w:rPr>
        <w:t xml:space="preserve"> </w:t>
      </w:r>
      <w:r>
        <w:rPr>
          <w:u w:val="single"/>
        </w:rPr>
        <w:t xml:space="preserve">The commission shall enter a final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approving the determination of the municipal governing body or the body vested with the power to manage and operate the municipally owned utility;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substituting the commission's own determination.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municipally owned utility may use the net proceeds of its wholesale competitive activities for any purpose deemed appropriate by the municipal governing body or a body vested with the power to manage and operate the municipally owned utility. </w:t>
      </w:r>
      <w:r>
        <w:rPr>
          <w:u w:val="single"/>
        </w:rPr>
        <w:t xml:space="preserve"> </w:t>
      </w:r>
      <w:r>
        <w:rPr>
          <w:u w:val="single"/>
        </w:rPr>
        <w:t xml:space="preserve">Those purposes may include utility debt repayment, reduction of purchased power costs, or transfers to the general fund. </w:t>
      </w:r>
      <w:r>
        <w:rPr>
          <w:u w:val="single"/>
        </w:rPr>
        <w:t xml:space="preserve"> </w:t>
      </w:r>
      <w:r>
        <w:rPr>
          <w:u w:val="single"/>
        </w:rPr>
        <w:t xml:space="preserve">The municipally owned utility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document and book the underlying transactions in auditable form;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at least an annual basis as part of the budgeting process, disclose to the public the net amount of the proceeds and the intended uses of the proceeds.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municipally owned utility described by Section 40.0521, Utilities Code, as added by this Act, that directly or indirectly subsidizes competitive activities through rates charged for the provision of retail electric service on the effective date of this Act shall comply with Section 40.0521, Utilities Code, as added by this Act, not later than March 1, 2020.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