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86R9999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transfer of a student from the school district of the student's residence to another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25.036, Education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child, other than a high school graduate, who is younger than 21 years of age and eligible for enrollment on September 1 of any school year may transfer [</w:t>
      </w:r>
      <w:r>
        <w:rPr>
          <w:strike/>
        </w:rPr>
        <w:t xml:space="preserve">annually</w:t>
      </w:r>
      <w:r>
        <w:t xml:space="preserve">] from the child's school district of residence to another district in this state if both the receiving district and the applicant parent or [</w:t>
      </w:r>
      <w:r>
        <w:rPr>
          <w:strike/>
        </w:rPr>
        <w:t xml:space="preserve">guardian or</w:t>
      </w:r>
      <w:r>
        <w:t xml:space="preserve">] person </w:t>
      </w:r>
      <w:r>
        <w:rPr>
          <w:u w:val="single"/>
        </w:rPr>
        <w:t xml:space="preserve">standing in parental relation to</w:t>
      </w:r>
      <w:r>
        <w:t xml:space="preserve"> [</w:t>
      </w:r>
      <w:r>
        <w:rPr>
          <w:strike/>
        </w:rPr>
        <w:t xml:space="preserve">having lawful control of</w:t>
      </w:r>
      <w:r>
        <w:t xml:space="preserve">] the child jointly approve and timely agree in writing to the transfer.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 agreement must authorize the receiving school district or the parent or person standing in parental relation to the child who executes a transfer agreement to terminate the agreement at any time during the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