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Health &amp; Human Services;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waiver authorizing the application of pesticides for mosquito control by certain municipal or county employees in an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76, Agriculture Code, is amended by adding Section 76.120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76.120.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MOSQUITO CONTROL BY CERTAIN MUNICIPAL OR COUNTY EMPLOYEES.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or county health department may apply for a waiver from the department authorizing the application of pesticides for mosquito control in the manner provided by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or county is in a state of disaster as declared by the governor under Chapter 418, Government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 or county health department determines that immediate action is needed to control the threat of mosquito-borne disease.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application by a municipal or county health department, the department may grant a waiver authorizing unlicensed employees of the municipality or county to apply pesticides for mosquito control under the direct supervision of a licensed applicator employed by the municipality or county, a nearby political subdivision, this state, or the federal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unlicensed employee of the municipality or county may apply pesticides as authorized by a waiver if the unlicensed employee and the licensed applicator supervising the employee execute an affidavit promulgated by the department describing the supervision arrangement and return the affidavit to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