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86R8770 JG-F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Lucio</w:t>
      </w:r>
      <w:r xml:space="preserve">
        <w:tab wTab="150" tlc="none" cTlc="0"/>
      </w:r>
      <w:r>
        <w:t xml:space="preserve">S.B.</w:t>
      </w:r>
      <w:r xml:space="preserve">
        <w:t> </w:t>
      </w:r>
      <w:r>
        <w:t xml:space="preserve">No.</w:t>
      </w:r>
      <w:r xml:space="preserve">
        <w:t> </w:t>
      </w:r>
      <w:r>
        <w:t xml:space="preserve">1114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sale or donation of certain school district property for the development of affordable housing for school district personnel.</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D, Chapter 11, Education Code, is amended by adding Section 11.15415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11.15415.</w:t>
      </w:r>
      <w:r>
        <w:rPr>
          <w:u w:val="single"/>
        </w:rPr>
        <w:t xml:space="preserve"> </w:t>
      </w:r>
      <w:r>
        <w:rPr>
          <w:u w:val="single"/>
        </w:rPr>
        <w:t xml:space="preserve"> </w:t>
      </w:r>
      <w:r>
        <w:rPr>
          <w:u w:val="single"/>
        </w:rPr>
        <w:t xml:space="preserve">SALE OR DONATION OF PROPERTY FOR DEVELOPMENT OF AFFORDABLE HOUSING.  (a)  Notwithstanding any other provision of law, the board of trustees of an independent school district may by resolution authorize the sale, at less than fair market value, or donation of any property held in trust for public school purposes to the Texas State Affordable Housing Corporation or another nonprofit organization with expertise in developing affordable housing for the development of affordable housing under Section 2306.570, Government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Before adopting a resolution to sell or donate property under this section, the board of trustees of an independent school district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hold a public hearing concerning the sale or donation of the property and, in addition to any other notice required, give notice of the hearing by publishing the subject matter, location, date, and time of the hearing in a newspaper having general circulation in the territory of the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ensure that the sale or donation complies with Section 52, Article III, Texas Constitution, and any other applicable provisions of the Texas Constitution;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ensure that the sale will serve a public purpose.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2306.553(a),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public purpose of the corporation is to perform activities and services that the corporation's board of directors determines will promote the public health, safety, and welfare through the provision of adequate, safe, and sanitary housing primarily for individuals and families of low, very low, and extremely low income and for persons who are eligible for loans under the home loan program provided by Section 2306.5621 </w:t>
      </w:r>
      <w:r>
        <w:rPr>
          <w:u w:val="single"/>
        </w:rPr>
        <w:t xml:space="preserve">or who are eligible to receive affordable housing under Section 2306.570</w:t>
      </w:r>
      <w:r>
        <w:t xml:space="preserve">.  The activities and services shall include engaging in mortgage banking activities and lending transactions and acquiring, holding, selling, or leasing real or personal property.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Y, Chapter 2306, Government Code, is amended by adding Section 2306.570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2306.570.</w:t>
      </w:r>
      <w:r>
        <w:rPr>
          <w:u w:val="single"/>
        </w:rPr>
        <w:t xml:space="preserve"> </w:t>
      </w:r>
      <w:r>
        <w:rPr>
          <w:u w:val="single"/>
        </w:rPr>
        <w:t xml:space="preserve"> </w:t>
      </w:r>
      <w:r>
        <w:rPr>
          <w:u w:val="single"/>
        </w:rPr>
        <w:t xml:space="preserve">DEVELOPMENT OF AFFORDABLE HOUSING FOR CERTAIN SCHOOL DISTRICT PERSONNEL.  (a)  The corporation or a nonprofit organization designated by the corporation with expertise in developing affordable housing may purchase or receive property under Section 11.15415, Education Code, to develop multifamily and single-family affordable housing units for school district personnel, including educators, school nurses, school counselors, and other administrative staff of the school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corporation or a nonprofit organization that purchases or receives property to develop affordable housing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ensure that the property will be used in accordance with the public purposes of the corporation outlined under Section 2306.553;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impose deed restrictions requiring the sale or rental of the property to moderate or low income households.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For multifamily housing units developed under this section the deed restrictions must require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not less than 80 percent of the units must be occupied by and affordable to families with a household income of not more than 80 percent of the area median family income, based on gross household income and adjusted for household size, for the county or metropolitan statistical area in which the units are located;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multifamily housing units available for rent: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not less than 40 percent of the units must be occupied by and affordable to families with a household income of not more than 60 percent of the area median family income, based on gross household income and adjusted for household size, for the county or metropolitan statistical area in which the units are located;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not less than 20 percent of the units must be occupied by and affordable to families with a household income of not more than 50 percent of the area median family income, based on gross household income and adjusted for household size, for the county or metropolitan statistical area in which the units are located.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For single-family housing units developed under this section the deed restrictions must require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not less than 50 percent of the units must be sold to families with a household income of not more than 80 percent of the area median family income, based on gross household income and adjusted for household size, for the county or metropolitan statistical area in which the units are located;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remaining units must be sold to families with a household income of not more than 120 percent of the area median family income, based on gross household income and adjusted for household size, for the county or metropolitan statistical area in which the units are located.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1114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