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border public health initiative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w:t>
      </w:r>
      <w:r>
        <w:rPr>
          <w:u w:val="single"/>
        </w:rPr>
        <w:t xml:space="preserve"> </w:t>
      </w:r>
      <w:r>
        <w:rPr>
          <w:u w:val="single"/>
        </w:rPr>
        <w:t xml:space="preserve">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adjacent to this state's international border with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BORDER PUBLIC HEALTH INITIATIVE.  (a)</w:t>
      </w:r>
      <w:r>
        <w:rPr>
          <w:u w:val="single"/>
        </w:rPr>
        <w:t xml:space="preserve"> </w:t>
      </w:r>
      <w:r>
        <w:rPr>
          <w:u w:val="single"/>
        </w:rPr>
        <w:t xml:space="preserve"> </w:t>
      </w:r>
      <w:r>
        <w:rPr>
          <w:u w:val="single"/>
        </w:rPr>
        <w:t xml:space="preserve">The department shall develop an initiative to reduce the adverse health impacts of diabetes, hypertension, and obesity for adults and children in border counties. </w:t>
      </w:r>
      <w:r>
        <w:rPr>
          <w:u w:val="single"/>
        </w:rPr>
        <w:t xml:space="preserve"> </w:t>
      </w:r>
      <w:r>
        <w:rPr>
          <w:u w:val="single"/>
        </w:rPr>
        <w:t xml:space="preserve">The initiative must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 resources designed to prevent those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screenings of persons at risk for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referrals to and treatment by health care providers for those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border public health initiative, the department may consult and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health and human services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or federal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centers and medical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OUTREACH CAMPAIGNS.  To implement the border public health initiative described by Section 65.0002, the department shall conduct bilingual, culturally appropriate outreach campaigns in consultation and collaboration with appropriate individuals and entities that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promotoras and community health 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academic centers located in border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worksite wellness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business and health care providers that provide early detection of prediabetes, prehypertension, and obesity;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local entities, as the department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REPORT.  Not later than January 1, 2023, the department shall prepare and electronically submit to the lieutenant governor, the speaker of the house of representatives, and the legislature a report describing: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outcomes and health care savings resulting from prevention, screenings, and treatment of chronic diseases under the border public health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relevant findings, as determined by the department, resulting from the 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EXPIRATION.  This chapter expires December 31, 2031.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