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86R12195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professional continuing education to address communicable and other diseases in border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81, Health and Safety Code, is amended by adding Subchapter K to read as follows:</w:t>
      </w:r>
    </w:p>
    <w:p w:rsidR="003F3435" w:rsidRDefault="0032493E">
      <w:pPr>
        <w:spacing w:line="480" w:lineRule="auto"/>
        <w:jc w:val="center"/>
      </w:pPr>
      <w:r>
        <w:rPr>
          <w:u w:val="single"/>
        </w:rPr>
        <w:t xml:space="preserve">SUBCHAPTER K. HEALTH PROFESSIONAL CONTINUING EDUCATION TO ADDRESS COMMUNICABLE AND OTHER DISEASES IN BORDER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health worker" has the meaning assigned by Section 48.001.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professional" means an individual whose: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vocation or profession is directly or indirectly related to the maintenance of the health of another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duties require a specified amount of formal education and may require a special examination, certificate or license, or membership in a regional or national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"HIV" means human immunodeficiency virus.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81.452.</w:t>
      </w:r>
      <w:r>
        <w:rPr>
          <w:u w:val="single"/>
        </w:rPr>
        <w:t xml:space="preserve"> </w:t>
      </w:r>
      <w:r>
        <w:rPr>
          <w:u w:val="single"/>
        </w:rPr>
        <w:t xml:space="preserve"> </w:t>
      </w:r>
      <w:r>
        <w:rPr>
          <w:u w:val="single"/>
        </w:rPr>
        <w:t xml:space="preserve">APPLICABILITY OF SUBCHAPTER.  This subchapter applies only to a county adjacent to the international border with Mexico.</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81.453.</w:t>
      </w:r>
      <w:r>
        <w:rPr>
          <w:u w:val="single"/>
        </w:rPr>
        <w:t xml:space="preserve"> </w:t>
      </w:r>
      <w:r>
        <w:rPr>
          <w:u w:val="single"/>
        </w:rPr>
        <w:t xml:space="preserve"> </w:t>
      </w:r>
      <w:r>
        <w:rPr>
          <w:u w:val="single"/>
        </w:rPr>
        <w:t xml:space="preserve">HEALTH PROFESSIONAL CONTINUING EDUCATION.  (a) </w:t>
      </w:r>
      <w:r>
        <w:rPr>
          <w:u w:val="single"/>
        </w:rPr>
        <w:t xml:space="preserve"> </w:t>
      </w:r>
      <w:r>
        <w:rPr>
          <w:u w:val="single"/>
        </w:rPr>
        <w:t xml:space="preserve">To the extent funds are available, the department, in collaboration with health authorities, local health departments, and public health districts, shall provide to community health workers, health professionals, and applicable employees of a local health department or public health district continuing education designed to reduce the incidence of communicable and other diseases in counties described by Section 81.452.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continuing education described by Subsection (a) may address: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diagnosis and treatment of communicable and other diseases,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tuberculosis, tuberculosis meningitis, multidrug resistant tuberculosis, and tuberculosis and HIV coinfections;</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sexually transmitted diseases and HIV;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liver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increasing pediatric and adult immunization rates;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strategies for improving health care system operations related to public health, including identifying, monitoring, tracking, and responding to communicable and other diseases occurring in the counties described by Section 81.452;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 that the department determines will assist health professionals, local health departments, and public health districts with addressing public health challenges existing in those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81.454.</w:t>
      </w:r>
      <w:r>
        <w:rPr>
          <w:u w:val="single"/>
        </w:rPr>
        <w:t xml:space="preserve"> </w:t>
      </w:r>
      <w:r>
        <w:rPr>
          <w:u w:val="single"/>
        </w:rPr>
        <w:t xml:space="preserve"> </w:t>
      </w:r>
      <w:r>
        <w:rPr>
          <w:u w:val="single"/>
        </w:rPr>
        <w:t xml:space="preserve">FUNDING.  (a) </w:t>
      </w:r>
      <w:r>
        <w:rPr>
          <w:u w:val="single"/>
        </w:rPr>
        <w:t xml:space="preserve"> </w:t>
      </w:r>
      <w:r>
        <w:rPr>
          <w:u w:val="single"/>
        </w:rPr>
        <w:t xml:space="preserve">The department may solicit or accept gifts, grants, or donations to fund health professional continuing education under this subchapter.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state and federal agencies, nonprofit organizations, public and private hospitals, institutions of higher education, and the private sector to identify, apply for, and solicit sources of funding for health professional continuing education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