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86R11297 JAM-D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West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1128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eligibility of certain municipalities to designate homestead preservation districts.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373A.052(b),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To be designated as a district within a municipality described by Section 373A.003(b) under this subchapter, an area must be composed of census tracts forming a spatially compact area [</w:t>
      </w:r>
      <w:r>
        <w:rPr>
          <w:strike/>
        </w:rPr>
        <w:t xml:space="preserve">contiguous to a central business district and</w:t>
      </w:r>
      <w:r>
        <w:t xml:space="preserve">] with: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fewer than 75,000 residents; </w:t>
      </w:r>
      <w:r>
        <w:rPr>
          <w:u w:val="single"/>
        </w:rPr>
        <w:t xml:space="preserve">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median family income that is less than </w:t>
      </w:r>
      <w:r>
        <w:rPr>
          <w:u w:val="single"/>
        </w:rPr>
        <w:t xml:space="preserve">70 percent of the area median family income, adjusted for household size, as determined annually by the United States Department of Housing and Urban Development</w:t>
      </w:r>
      <w:r>
        <w:t xml:space="preserve"> [</w:t>
      </w:r>
      <w:r>
        <w:rPr>
          <w:strike/>
        </w:rPr>
        <w:t xml:space="preserve">$30,000 according to the last decennial census;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(3)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an overall poverty rate that is at least two times the poverty rate for the entire municipality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1128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