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86R2821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municipalities to annex an enclave.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43.0115(a),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 a municipality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wholly or partly located in a county in which a majority of the population of two or more municipalities, each with a population of </w:t>
      </w:r>
      <w:r>
        <w:rPr>
          <w:u w:val="single"/>
        </w:rPr>
        <w:t xml:space="preserve">225,000</w:t>
      </w:r>
      <w:r>
        <w:t xml:space="preserve"> [</w:t>
      </w:r>
      <w:r>
        <w:rPr>
          <w:strike/>
        </w:rPr>
        <w:t xml:space="preserve">300,000</w:t>
      </w:r>
      <w:r>
        <w:t xml:space="preserve">] or more, are located;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proposes to annex an area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wholly surrounded by a municipality and within the municipality's extraterritorial jurisdiction;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fewer than 100 dwelling units.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