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1132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26,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7,</w:t>
      </w:r>
      <w:r xml:space="preserve">
        <w:t> </w:t>
      </w:r>
      <w:r>
        <w:t xml:space="preserve">2019, read first time and referred to Committee on Intergovernmental Relations;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5, Nays</w:t>
      </w:r>
      <w:r xml:space="preserve">
        <w:t> </w:t>
      </w:r>
      <w:r>
        <w:t xml:space="preserve">1, 1</w:t>
      </w:r>
      <w:r xml:space="preserve">
        <w:t> </w:t>
      </w:r>
      <w:r>
        <w:t xml:space="preserve">present not voting;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certain municipalities to annex an enclave.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43.0115(a),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wholly or partly located in a county in which a majority of the population of two or more municipalities, each with a population of </w:t>
      </w:r>
      <w:r>
        <w:rPr>
          <w:u w:val="single"/>
        </w:rPr>
        <w:t xml:space="preserve">225,000</w:t>
      </w:r>
      <w:r>
        <w:t xml:space="preserve"> [</w:t>
      </w:r>
      <w:r>
        <w:rPr>
          <w:strike/>
        </w:rPr>
        <w:t xml:space="preserve">300,000</w:t>
      </w:r>
      <w:r>
        <w:t xml:space="preserve">] or more, are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proposes to annex an area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surrounded by a municipality and within the municipality's extraterritorial jurisdiction;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fewer than 100 dwelling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