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1138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instruments entered into by the Texas Treasury Safekeeping Trust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404.103(b),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 </w:t>
      </w:r>
      <w:r>
        <w:t xml:space="preserve"> </w:t>
      </w:r>
      <w:r>
        <w:t xml:space="preserve">The trust company shall be liable under those contracts in accordance with the terms contained in the contracts. </w:t>
      </w:r>
      <w:r>
        <w:t xml:space="preserve"> </w:t>
      </w:r>
      <w:r>
        <w:t xml:space="preserve">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w:t>
      </w:r>
      <w:r>
        <w:rPr>
          <w:u w:val="single"/>
        </w:rPr>
        <w:t xml:space="preserve">,</w:t>
      </w:r>
      <w:r>
        <w:t xml:space="preserve"> and expressly consents to sue and be sued in federal court or in any court of competent jurisdiction. </w:t>
      </w:r>
      <w:r>
        <w:t xml:space="preserve"> </w:t>
      </w:r>
      <w:r>
        <w:rPr>
          <w:u w:val="single"/>
        </w:rPr>
        <w:t xml:space="preserve">Notwithstanding any other statute to the contrary, to the extent permitted by the Texas Constitution and the securities instruments between the trust company and third parties, the trust company's obligations shall be guaranteed only by the reserve balances held by the trust company under Section 404.105, and the state expressly waives all defenses of governmental immunity by and on behalf of the trust company, and the state expressly consents by and on behalf of the trust company to sue and be sued in federal court or in any court of competent jurisdiction.</w:t>
      </w:r>
      <w:r>
        <w:t xml:space="preserve"> </w:t>
      </w:r>
      <w:r>
        <w:t xml:space="preserve"> </w:t>
      </w:r>
      <w:r>
        <w:t xml:space="preserve">However, this provision does not alter or affect the immunity accorded to state officials and employees under state law. </w:t>
      </w:r>
      <w:r>
        <w:t xml:space="preserve"> </w:t>
      </w:r>
      <w:r>
        <w:t xml:space="preserve">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security instrument entered into on or after the effective date of this Act. </w:t>
      </w:r>
      <w:r>
        <w:t xml:space="preserve"> </w:t>
      </w:r>
      <w:r>
        <w:t xml:space="preserve">A security instrument entered into before the effective date of this Act is subject to the law in effect on the date that the security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