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securities contracts entered into by the Texas Treasury Safekeeping Trust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404.103,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 </w:t>
      </w:r>
      <w:r>
        <w:t xml:space="preserve"> </w:t>
      </w:r>
      <w:r>
        <w:t xml:space="preserve">The trust company shall be liable under those contracts in accordance with the terms contained in the contracts. </w:t>
      </w:r>
      <w:r>
        <w:t xml:space="preserve">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w:t>
      </w:r>
      <w:r>
        <w:rPr>
          <w:u w:val="single"/>
        </w:rPr>
        <w:t xml:space="preserve">,</w:t>
      </w:r>
      <w:r>
        <w:t xml:space="preserve"> and expressly consents to sue and be sued in federal court or in any court of competent jurisdiction. </w:t>
      </w:r>
      <w:r>
        <w:t xml:space="preserve"> </w:t>
      </w:r>
      <w:r>
        <w:t xml:space="preserve">However, this provision does not alter or affect the immunity accorded to state officials and employees under state law. </w:t>
      </w:r>
      <w:r>
        <w:t xml:space="preserve">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subsection, "securities contract" includes direct security repurchase agreements, reverse security repurchase agreements, and related custody agreements.  The trust company may enter into trust agreements, fiduciary instruments, or other contracts as principal or as trustee, with the comptroller and other third parties.  The trust company shall be liable under the agreements, instruments, or contracts in accordance with the terms contained in the agreements, instruments, or contracts.  Notwithstanding any other statute to the contrary, to the extent permitted by the Texas Constitution and the contracts, the trust company's obligations under securities contracts between the trust company and third parties shall be guaranteed by the state with, and only to the extent of, the reserve balances held by the trust company under Section 404.105, and for those securities contracts, the state expressly waives all defenses of governmental immunity by and on behalf of the trust company, and expressly consents by and on behalf of the trust company to sue and be sued in federal court or in any court of competent jurisdiction.  However, this provision does not alter or affect the immunity accorded to state officials and employees under state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enter into contracts, trust agreements, and other instruments with the trust company as provided by Section </w:t>
      </w:r>
      <w:r>
        <w:rPr>
          <w:u w:val="single"/>
        </w:rPr>
        <w:t xml:space="preserve">404.103</w:t>
      </w:r>
      <w:r>
        <w:t xml:space="preserve"> [</w:t>
      </w:r>
      <w:r>
        <w:rPr>
          <w:strike/>
        </w:rPr>
        <w:t xml:space="preserve">404.103(b)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agreement, instrument, or contract entered into on or after the effective date of this Act. </w:t>
      </w:r>
      <w:r>
        <w:t xml:space="preserve"> </w:t>
      </w:r>
      <w:r>
        <w:t xml:space="preserve">An agreement, instrument, or contract entered into before the effective date of this Act is subject to the law in effect on the date that the agreement, instrument, or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1138 passed the Senate on April</w:t>
      </w:r>
      <w:r xml:space="preserve">
        <w:t> </w:t>
      </w:r>
      <w:r>
        <w:t xml:space="preserve">26,</w:t>
      </w:r>
      <w:r xml:space="preserve">
        <w:t> </w:t>
      </w:r>
      <w:r>
        <w:t xml:space="preserve">2019, by the following vote:  Yeas</w:t>
      </w:r>
      <w:r xml:space="preserve">
        <w:t> </w:t>
      </w:r>
      <w:r>
        <w:t xml:space="preserve">30, Nays</w:t>
      </w:r>
      <w:r xml:space="preserve">
        <w:t> </w:t>
      </w:r>
      <w:r>
        <w:t xml:space="preserve">0; and that the Senate concurred in House amendment on May</w:t>
      </w:r>
      <w:r xml:space="preserve">
        <w:t> </w:t>
      </w:r>
      <w:r>
        <w:t xml:space="preserve">25,</w:t>
      </w:r>
      <w:r xml:space="preserve">
        <w:t> </w:t>
      </w:r>
      <w:r>
        <w:t xml:space="preserve">2019,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1138 passed the House, with amendment, on May</w:t>
      </w:r>
      <w:r xml:space="preserve">
        <w:t> </w:t>
      </w:r>
      <w:r>
        <w:t xml:space="preserve">22,</w:t>
      </w:r>
      <w:r xml:space="preserve">
        <w:t> </w:t>
      </w:r>
      <w:r>
        <w:t xml:space="preserve">2019, by the following vote:  Yeas</w:t>
      </w:r>
      <w:r xml:space="preserve">
        <w:t> </w:t>
      </w:r>
      <w:r>
        <w:t xml:space="preserve">135, Nays</w:t>
      </w:r>
      <w:r xml:space="preserve">
        <w:t> </w:t>
      </w:r>
      <w:r>
        <w:t xml:space="preserve">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