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1138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26,</w:t>
      </w:r>
      <w:r xml:space="preserve">
        <w:t> </w:t>
      </w:r>
      <w:r>
        <w:t xml:space="preserve">2019; March</w:t>
      </w:r>
      <w:r xml:space="preserve">
        <w:t> </w:t>
      </w:r>
      <w:r>
        <w:t xml:space="preserve">7,</w:t>
      </w:r>
      <w:r xml:space="preserve">
        <w:t> </w:t>
      </w:r>
      <w:r>
        <w:t xml:space="preserve">2019, read first time and referred to Committee on Finance; April</w:t>
      </w:r>
      <w:r xml:space="preserve">
        <w:t> </w:t>
      </w:r>
      <w:r>
        <w:t xml:space="preserve">16,</w:t>
      </w:r>
      <w:r xml:space="preserve">
        <w:t> </w:t>
      </w:r>
      <w:r>
        <w:t xml:space="preserve">2019, reported adversely, with favorable Committee Substitute by the following vote:</w:t>
      </w:r>
      <w:r>
        <w:t xml:space="preserve"> </w:t>
      </w:r>
      <w:r>
        <w:t xml:space="preserve"> </w:t>
      </w:r>
      <w:r>
        <w:t xml:space="preserve">Yeas</w:t>
      </w:r>
      <w:r xml:space="preserve">
        <w:t> </w:t>
      </w:r>
      <w:r>
        <w:t xml:space="preserve">13, Nays</w:t>
      </w:r>
      <w:r xml:space="preserve">
        <w:t> </w:t>
      </w:r>
      <w:r>
        <w:t xml:space="preserve">0; April</w:t>
      </w:r>
      <w:r xml:space="preserve">
        <w:t> </w:t>
      </w:r>
      <w:r>
        <w:t xml:space="preserve">16,</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1138</w:t>
      </w:r>
      <w:r xml:space="preserve">
        <w:tab wTab="150" tlc="none" cTlc="0"/>
      </w:r>
      <w:r>
        <w:t xml:space="preserve">By:</w:t>
      </w:r>
      <w:r xml:space="preserve">
        <w:t> </w:t>
      </w:r>
      <w:r xml:space="preserve">
        <w:t> </w:t>
      </w:r>
      <w:r>
        <w:t xml:space="preserve">Watson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security instruments entered into by the Texas Treasury Safekeeping Trust Company.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404.103(b),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trust company may enter into contracts, trust agreements, or other fiduciary instruments with the comptroller, the Federal Reserve System, a depository trust company, and other third parties. </w:t>
      </w:r>
      <w:r>
        <w:t xml:space="preserve"> </w:t>
      </w:r>
      <w:r>
        <w:t xml:space="preserve">The trust company shall be liable under those contracts in accordance with the terms contained in the contracts. </w:t>
      </w:r>
      <w:r>
        <w:t xml:space="preserve"> </w:t>
      </w:r>
      <w:r>
        <w:t xml:space="preserve">Notwithstanding any other statute to the contrary, to the extent permitted by the Texas Constitution and the contracts, trust agreements, or other fiduciary instruments between the trust company, the Federal Reserve System, and a depository trust company, the trust company's obligations shall be guaranteed by the state, and the state expressly waives all defenses of governmental immunity by and on behalf of the trust company, the comptroller, and the state</w:t>
      </w:r>
      <w:r>
        <w:rPr>
          <w:u w:val="single"/>
        </w:rPr>
        <w:t xml:space="preserve">,</w:t>
      </w:r>
      <w:r>
        <w:t xml:space="preserve"> and expressly consents to sue and be sued in federal court or in any court of competent jurisdiction. </w:t>
      </w:r>
      <w:r>
        <w:t xml:space="preserve"> </w:t>
      </w:r>
      <w:r>
        <w:rPr>
          <w:u w:val="single"/>
        </w:rPr>
        <w:t xml:space="preserve">Notwithstanding any other statute to the contrary, to the extent permitted by the Texas Constitution and the securities instruments between the trust company and third parties, the trust company's obligations shall be guaranteed only by the reserve balances held by the trust company under Section 404.105, and the state expressly waives all defenses of governmental immunity by and on behalf of the trust company, and the state expressly consents by and on behalf of the trust company to sue and be sued in federal court or in any court of competent jurisdiction.</w:t>
      </w:r>
      <w:r>
        <w:t xml:space="preserve"> </w:t>
      </w:r>
      <w:r>
        <w:t xml:space="preserve"> </w:t>
      </w:r>
      <w:r>
        <w:t xml:space="preserve">However, this provision does not alter or affect the immunity accorded to state officials and employees under state law. </w:t>
      </w:r>
      <w:r>
        <w:t xml:space="preserve"> </w:t>
      </w:r>
      <w:r>
        <w:t xml:space="preserve">The trust company may enter into contracts with the comptroller and the Federal Reserve System to provide any services that the Federal Reserve System makes available, including:</w:t>
      </w:r>
    </w:p>
    <w:p w:rsidR="003F3435" w:rsidRDefault="0032493E">
      <w:pPr>
        <w:spacing w:line="480" w:lineRule="auto"/>
        <w:ind w:firstLine="1440"/>
        <w:jc w:val="both"/>
      </w:pPr>
      <w:r>
        <w:t xml:space="preserve">(1)</w:t>
      </w:r>
      <w:r xml:space="preserve">
        <w:t> </w:t>
      </w:r>
      <w:r xml:space="preserve">
        <w:t> </w:t>
      </w:r>
      <w:r>
        <w:t xml:space="preserve">safekeeping book-entry United States Treasury and agency securities owned by the state and its agencies;</w:t>
      </w:r>
    </w:p>
    <w:p w:rsidR="003F3435" w:rsidRDefault="0032493E">
      <w:pPr>
        <w:spacing w:line="480" w:lineRule="auto"/>
        <w:ind w:firstLine="1440"/>
        <w:jc w:val="both"/>
      </w:pPr>
      <w:r>
        <w:t xml:space="preserve">(2)</w:t>
      </w:r>
      <w:r xml:space="preserve">
        <w:t> </w:t>
      </w:r>
      <w:r xml:space="preserve">
        <w:t> </w:t>
      </w:r>
      <w:r>
        <w:t xml:space="preserve">using the federal reserve wire transfer system to transfer money and book-entry securities and to settle securities transactions involving book-entry United States Treasury and agency securities owned by the state and its agencies;</w:t>
      </w:r>
    </w:p>
    <w:p w:rsidR="003F3435" w:rsidRDefault="0032493E">
      <w:pPr>
        <w:spacing w:line="480" w:lineRule="auto"/>
        <w:ind w:firstLine="1440"/>
        <w:jc w:val="both"/>
      </w:pPr>
      <w:r>
        <w:t xml:space="preserve">(3)</w:t>
      </w:r>
      <w:r xml:space="preserve">
        <w:t> </w:t>
      </w:r>
      <w:r xml:space="preserve">
        <w:t> </w:t>
      </w:r>
      <w:r>
        <w:t xml:space="preserve">collecting, through the Federal Reserve System, checks deposited with the treasury;</w:t>
      </w:r>
    </w:p>
    <w:p w:rsidR="003F3435" w:rsidRDefault="0032493E">
      <w:pPr>
        <w:spacing w:line="480" w:lineRule="auto"/>
        <w:ind w:firstLine="1440"/>
        <w:jc w:val="both"/>
      </w:pPr>
      <w:r>
        <w:t xml:space="preserve">(4)</w:t>
      </w:r>
      <w:r xml:space="preserve">
        <w:t> </w:t>
      </w:r>
      <w:r xml:space="preserve">
        <w:t> </w:t>
      </w:r>
      <w:r>
        <w:t xml:space="preserve">receiving payments from and making payments to the federal government on behalf of the state and its agencies;</w:t>
      </w:r>
    </w:p>
    <w:p w:rsidR="003F3435" w:rsidRDefault="0032493E">
      <w:pPr>
        <w:spacing w:line="480" w:lineRule="auto"/>
        <w:ind w:firstLine="1440"/>
        <w:jc w:val="both"/>
      </w:pPr>
      <w:r>
        <w:t xml:space="preserve">(5)</w:t>
      </w:r>
      <w:r xml:space="preserve">
        <w:t> </w:t>
      </w:r>
      <w:r xml:space="preserve">
        <w:t> </w:t>
      </w:r>
      <w:r>
        <w:t xml:space="preserve">originating automated clearinghouse transactions or other electronic transfers to make payments on behalf of the state and its agencies, collecting revenues due the state and its agencies, and transferring money between state depositories;</w:t>
      </w:r>
    </w:p>
    <w:p w:rsidR="003F3435" w:rsidRDefault="0032493E">
      <w:pPr>
        <w:spacing w:line="480" w:lineRule="auto"/>
        <w:ind w:firstLine="1440"/>
        <w:jc w:val="both"/>
      </w:pPr>
      <w:r>
        <w:t xml:space="preserve">(6)</w:t>
      </w:r>
      <w:r xml:space="preserve">
        <w:t> </w:t>
      </w:r>
      <w:r xml:space="preserve">
        <w:t> </w:t>
      </w:r>
      <w:r>
        <w:t xml:space="preserve">paying warrants drawn on the treasury and presented through the Federal Reserve System for payment; and</w:t>
      </w:r>
    </w:p>
    <w:p w:rsidR="003F3435" w:rsidRDefault="0032493E">
      <w:pPr>
        <w:spacing w:line="480" w:lineRule="auto"/>
        <w:ind w:firstLine="1440"/>
        <w:jc w:val="both"/>
      </w:pPr>
      <w:r>
        <w:t xml:space="preserve">(7)</w:t>
      </w:r>
      <w:r xml:space="preserve">
        <w:t> </w:t>
      </w:r>
      <w:r xml:space="preserve">
        <w:t> </w:t>
      </w:r>
      <w:r>
        <w:t xml:space="preserve">safekeeping collateral pledged to secure deposits of public funds.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security instrument entered into on or after the effective date of this Act. </w:t>
      </w:r>
      <w:r>
        <w:t xml:space="preserve"> </w:t>
      </w:r>
      <w:r>
        <w:t xml:space="preserve">A security instrument entered into before the effective date of this Act is subject to the law in effect on the date that the security was entered into,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