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1140</w:t>
      </w:r>
    </w:p>
    <w:p w:rsidR="003F3435" w:rsidRDefault="0032493E">
      <w:pPr>
        <w:ind w:firstLine="720"/>
        <w:jc w:val="both"/>
      </w:pPr>
      <w:r>
        <w:t xml:space="preserve">(Frank)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independent medical review of certain determinations by the Health and Human Services Commission or a Medicaid managed care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533.00715.</w:t>
      </w:r>
      <w:r>
        <w:rPr>
          <w:u w:val="single"/>
        </w:rPr>
        <w:t xml:space="preserve"> </w:t>
      </w:r>
      <w:r>
        <w:rPr>
          <w:u w:val="single"/>
        </w:rPr>
        <w:t xml:space="preserve"> </w:t>
      </w:r>
      <w:r>
        <w:rPr>
          <w:u w:val="single"/>
        </w:rPr>
        <w:t xml:space="preserve">INDEPENDENT APPEALS PROCEDURE.  (a)</w:t>
      </w:r>
      <w:r>
        <w:rPr>
          <w:u w:val="single"/>
        </w:rPr>
        <w:t xml:space="preserve"> </w:t>
      </w:r>
      <w:r>
        <w:rPr>
          <w:u w:val="single"/>
        </w:rPr>
        <w:t xml:space="preserve"> </w:t>
      </w:r>
      <w:r>
        <w:rPr>
          <w:u w:val="single"/>
        </w:rPr>
        <w:t xml:space="preserve">In this section, "third-party arbiter" means a third-party medical review organization that provides objective, unbiased medical necessity determinations conducted by clinical staff with education and practice in the same or similar practice area as the procedure for which an independent determination of medical necessity is sought.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using money appropriated for the purpose, shall contract with at least three independent, third-party arbiters to resolve an appeal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Medicaid managed care organization adverse benefit determination made on the basis of medical necessity;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denial by the commission of eligibility for a Medicaid program on the basis of the recipient's or applicant's medical and functional needs;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action, as defined by 42 C.F.R. Section 431.201, by the commission based on the recipient's medical and functional needs.</w:t>
      </w:r>
    </w:p>
    <w:p w:rsidR="003F3435" w:rsidRDefault="0032493E">
      <w:pPr>
        <w:spacing w:line="480" w:lineRule="auto"/>
        <w:ind w:firstLine="720"/>
        <w:jc w:val="both"/>
      </w:pPr>
      <w:r>
        <w:rPr>
          <w:u w:val="single"/>
        </w:rPr>
        <w:t xml:space="preserve">(c) </w:t>
      </w:r>
      <w:r>
        <w:rPr>
          <w:u w:val="single"/>
        </w:rPr>
        <w:t xml:space="preserve"> </w:t>
      </w:r>
      <w:r>
        <w:rPr>
          <w:u w:val="single"/>
        </w:rPr>
        <w:t xml:space="preserve">An appeal described by Subsection (b)(1) occurs after the Medicaid managed care organization internal appeal decision is issued and before the Medicaid fair hearing, and the appeal is granted when a recipient contests the internal appeal decision. </w:t>
      </w:r>
      <w:r>
        <w:rPr>
          <w:u w:val="single"/>
        </w:rPr>
        <w:t xml:space="preserve"> </w:t>
      </w:r>
      <w:r>
        <w:rPr>
          <w:u w:val="single"/>
        </w:rPr>
        <w:t xml:space="preserve">An appeal described by Subsection (b)(2) or (3) occurs after the commission's denial is issued or action is taken and before the Medicaid fair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a common procedure for appeals.  The procedure must provide that a health care service ordered by a health care provider is presumed medically necessary and the commission or Medicaid managed care organization bears the burden of proof to show the health care service is not medically necessary. </w:t>
      </w:r>
      <w:r>
        <w:rPr>
          <w:u w:val="single"/>
        </w:rPr>
        <w:t xml:space="preserve"> </w:t>
      </w:r>
      <w:r>
        <w:rPr>
          <w:u w:val="single"/>
        </w:rPr>
        <w:t xml:space="preserve">The third-party arbiter shall conduct the appeal within a period specified by the commission. </w:t>
      </w:r>
      <w:r>
        <w:rPr>
          <w:u w:val="single"/>
        </w:rPr>
        <w:t xml:space="preserve"> </w:t>
      </w:r>
      <w:r>
        <w:rPr>
          <w:u w:val="single"/>
        </w:rPr>
        <w:t xml:space="preserve">The commission shall also establish a procedure for expedited appeals that allows a third-party arbiter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 appeal that requires an expedited resolution;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resolve the appeal within a specified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commission shall ensure an appeal is randomly assigned to a third-party arbiter.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ensure each third-party arbiter has the necessary medical expertise to resolve an appeal.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third-party arbiter shall establish and maintain an Internet portal through which a recipient may track the status and final disposition of an appeal.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third-party arbiter shall educate recipients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appeals processes and options;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 and improper denials of health care services on the basis of medical necessity;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available through the commission's office of the ombudsman.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third-party arbiter may share with Medicaid managed care organizations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appeals processes;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documents the arbiter may require from the organization to resolve appeals.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third-party arbiter shall notify the commission of the final disposition of each appeal. </w:t>
      </w:r>
      <w:r>
        <w:rPr>
          <w:u w:val="single"/>
        </w:rPr>
        <w:t xml:space="preserve"> </w:t>
      </w:r>
      <w:r>
        <w:rPr>
          <w:u w:val="single"/>
        </w:rPr>
        <w:t xml:space="preserve">The commission shall review aggregate denial data categorized by Medicaid managed care plan to identify trends and determine whether a Medicaid managed care organization is disproportionately denying prior authorization requests from a single provider or set of providers.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