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Travis County Healthcare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281, Health and Safety Code, is amended by adding Section 281.02815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281.02815.</w:t>
      </w:r>
      <w:r>
        <w:rPr>
          <w:u w:val="single"/>
        </w:rPr>
        <w:t xml:space="preserve"> </w:t>
      </w:r>
      <w:r>
        <w:rPr>
          <w:u w:val="single"/>
        </w:rPr>
        <w:t xml:space="preserve"> </w:t>
      </w:r>
      <w:r>
        <w:rPr>
          <w:u w:val="single"/>
        </w:rPr>
        <w:t xml:space="preserve">EMPLOYMENT OF PHYSICIANS BY CERTAIN HOSPITAL DISTRICTS.  (a)</w:t>
      </w:r>
      <w:r>
        <w:rPr>
          <w:u w:val="single"/>
        </w:rPr>
        <w:t xml:space="preserve"> </w:t>
      </w:r>
      <w:r>
        <w:rPr>
          <w:u w:val="single"/>
        </w:rPr>
        <w:t xml:space="preserve"> </w:t>
      </w:r>
      <w:r>
        <w:rPr>
          <w:u w:val="single"/>
        </w:rPr>
        <w:t xml:space="preserve">This section applies only to a district created in a county with a population of more than 800,000 that was not included in the boundaries of a hospital district before September 1, 2003.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authority to employ physicians under Section 281.0281 in the manner and for the purposes provided by that section, the board of the district may appoint, contract for, or employ physicians as the board considers necessary for the efficient operation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term of an employment contract entered into under this section may not exceed four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authority granted to the board under Subsection (b) to employ physicians shall apply as necessary for the district to fulfill the district's statutory mandate to provide medical care for the indigent and needy residents of the district as provided by Section 281.046.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medical executive board of the district shall adopt, maintain, and enforce policies to ensure that a physician employed by the district under this section exercises the physician's independent medical judgment in providing care to patients.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policies adopted by the medical executive board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governance of the medical executive board;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due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rules requiring the disclosure of financial conflicts of interest by a member of the medical executive board.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medical executive board and the board of the district shall jointly develop and implement a conflict management process to resolve any conflict between a policy adopted by the medical executive board under this section and a policy of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member of the medical executive board who is a physician shall provide biennially to the chair of the medical executive board a signed, verified statement indicating that the board member: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licensed by the Texas Medical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will exercise independent medical judgment in all medical executive board matters, including matters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due process;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will exercise the board member's best efforts to ensure compliance with the policies that are adopted or established by the medical executive board;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will report immediately to the Texas Medical Board any action or event that the board member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For all matters relating to the practice of medicine, each physician employed by the district under this section shall ultimately report to the chair of the medical executive board for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1142 passed the Senate on April</w:t>
      </w:r>
      <w:r xml:space="preserve">
        <w:t> </w:t>
      </w:r>
      <w:r>
        <w:t xml:space="preserve">11,</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1142 passed the House on April</w:t>
      </w:r>
      <w:r xml:space="preserve">
        <w:t> </w:t>
      </w:r>
      <w:r>
        <w:t xml:space="preserve">25,</w:t>
      </w:r>
      <w:r xml:space="preserve">
        <w:t> </w:t>
      </w:r>
      <w:r>
        <w:t xml:space="preserve">2019, by the following vote:</w:t>
      </w:r>
      <w:r xml:space="preserve">
        <w:t> </w:t>
      </w:r>
      <w:r xml:space="preserve">
        <w:t> </w:t>
      </w:r>
      <w:r>
        <w:t xml:space="preserve">Yeas</w:t>
      </w:r>
      <w:r xml:space="preserve">
        <w:t> </w:t>
      </w:r>
      <w:r>
        <w:t xml:space="preserve">132, Nays</w:t>
      </w:r>
      <w:r xml:space="preserve">
        <w:t> </w:t>
      </w:r>
      <w:r>
        <w:t xml:space="preserve">13, three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