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86R8653 LHC-F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1147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conditions of community supervision applicable to certain intoxication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42A.402, Code of Criminal Procedure,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evaluation conducted under Subsection (d) indicates to the judge that the defendant would likely benefit from medication-assisted treatment approved by the United States Food and Drug Administration for alcohol dependence, the judge shall require as a condition of community supervision that the defendant submit to an evaluation by a licensed physician to determine whether the defendant would benefit from medication-assisted treatment. Only a licensed physician may recommend that a defendant participate in medication-assisted treatment. A defendant is entitled to refuse to participate in medication-assisted treatment, and a judge may not require as a condition of community supervision that the defendant participate in medication-assisted treatment.</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defendant placed on community supervision on or after the effective date of this Act, regardless of whether the offense for which the defendant was placed on community supervision was committed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