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1147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Criminal Justice;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6, Nays 0;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1147</w:t>
      </w:r>
      <w:r xml:space="preserve">
        <w:tab wTab="150" tlc="none" cTlc="0"/>
      </w:r>
      <w:r>
        <w:t xml:space="preserve">By:</w:t>
      </w:r>
      <w:r xml:space="preserve">
        <w:t> </w:t>
      </w:r>
      <w:r xml:space="preserve">
        <w:t> </w:t>
      </w:r>
      <w:r>
        <w:t xml:space="preserve">Whitmire</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conditions of community supervision applicable to certain intoxication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42A.402,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based on the evaluation conducted under Subsection (d), the judge determines that the defendant would likely benefit from medication-assisted treatment approved by the United States Food and Drug Administration for alcohol dependence, the judge may require as a condition of community supervision that the defendant submit to an evaluation by a licensed physician to determine whether the defendant would benefit from medication-assisted treatment. </w:t>
      </w:r>
      <w:r>
        <w:rPr>
          <w:u w:val="single"/>
        </w:rPr>
        <w:t xml:space="preserve"> </w:t>
      </w:r>
      <w:r>
        <w:rPr>
          <w:u w:val="single"/>
        </w:rPr>
        <w:t xml:space="preserve">Only a licensed physician may recommend that a defendant participate in medication-assisted treatment. </w:t>
      </w:r>
      <w:r>
        <w:rPr>
          <w:u w:val="single"/>
        </w:rPr>
        <w:t xml:space="preserve"> </w:t>
      </w:r>
      <w:r>
        <w:rPr>
          <w:u w:val="single"/>
        </w:rPr>
        <w:t xml:space="preserve">A defendant is entitled to refuse to participate in medication-assisted treatment, and a judge may not require as a condition of community supervision that the defendant participate in medication-assisted treatment.</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defendant placed on community supervision on or after the effective date of this Act, regardless of whether the offense for which the defendant was placed on community supervision was committed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1147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