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reimbursing a commissioners court for the reasonable cost of transporting a body for the purpose of an autopsy.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49.10, Code of Criminal Procedure,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commissioners court that pays a fee to transport a body to or from a place where an autopsy can be performed under this article may seek reimbursement for the reasonable costs of the transportation as provided by this subsection. On application to the attorney general, the commissioners court may be reimbursed from the compensation to victims of crime fund if the physician performing the autopsy determines the death was caused by unlawful means.  On application to the attorney representing the state or the head of a law enforcement agency, a commissioners court may be reimbursed from civil asset forfeiture proceeds as provided by Article 59.06(t), regardless of the circumstances of the death.  The commissioners court may not be reimbursed from more than one source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t xml:space="preserve">reimburse a law enforcement agency for the reasonable costs of a forensic medical examination that are incurred by the agency under Article 56.06 or 56.065;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provided by Article 49.10, reimburse a commissioners court for the reasonable cost of transporting a body for the purpose of an autopsy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As a specific exception to Subsection (c) that the funds described by that subsection be used only for the official purposes of the attorney representing the state or for law enforcement purposes, the attorney representing the state or the head of a law enforcement agency, as applicable, may use any portion of the gross amount credited to the attorney's or agency's special fund under Subsection (c) to reimburse a commissioners court for the reasonable cost of transporting a body for the purpose of an autopsy.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