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comptroller's access to criminal history record information of wrongfully imprisoned persons and certain annuity payments payable to surviving spouses and designated beneficiaries of those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103.0535, Civil Practice and Remedies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An election under this section must be made not later than the 45th day after the date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which the claimant files with the comptroller the application required by Section 103.051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which the claimant experiences one of the following life-changing events: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marriage or divorce of the claimant;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addition of a dependent of the claimant;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death of a dependent, spouse, or beneficiary of the claimant.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under Subsection (d) must be made</w:t>
      </w:r>
      <w:r>
        <w:t xml:space="preserve"> on a form prescribed by the comptroller that:</w:t>
      </w:r>
    </w:p>
    <w:p w:rsidR="003F3435" w:rsidRDefault="0032493E">
      <w:pPr>
        <w:spacing w:line="480" w:lineRule="auto"/>
        <w:ind w:firstLine="1440"/>
        <w:jc w:val="both"/>
      </w:pPr>
      <w:r>
        <w:t xml:space="preserve">(1)</w:t>
      </w:r>
      <w:r xml:space="preserve">
        <w:t> </w:t>
      </w:r>
      <w:r xml:space="preserve">
        <w:t> </w:t>
      </w:r>
      <w:r>
        <w:t xml:space="preserve">identifies the claimant's spouse or designated beneficiary according to Section 103.0536; and</w:t>
      </w:r>
    </w:p>
    <w:p w:rsidR="003F3435" w:rsidRDefault="0032493E">
      <w:pPr>
        <w:spacing w:line="480" w:lineRule="auto"/>
        <w:ind w:firstLine="1440"/>
        <w:jc w:val="both"/>
      </w:pPr>
      <w:r>
        <w:t xml:space="preserve">(2)</w:t>
      </w:r>
      <w:r xml:space="preserve">
        <w:t> </w:t>
      </w:r>
      <w:r xml:space="preserve">
        <w:t> </w:t>
      </w:r>
      <w:r>
        <w:t xml:space="preserve">specifies the option selected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is entitled to obtain from the department criminal history record information maintained by the department that the comptroller believes is necessary for the enforcement or administration of </w:t>
      </w:r>
      <w:r>
        <w:rPr>
          <w:u w:val="single"/>
        </w:rPr>
        <w:t xml:space="preserve">Chapter 103, Civil Practice and Remedies Code, or</w:t>
      </w:r>
      <w:r>
        <w:t xml:space="preserve"> Chapter 151, 152, 154, 155, or 162, Tax Code, including criminal history record information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permit under any of those chapters;</w:t>
      </w:r>
    </w:p>
    <w:p w:rsidR="003F3435" w:rsidRDefault="0032493E">
      <w:pPr>
        <w:spacing w:line="480" w:lineRule="auto"/>
        <w:ind w:firstLine="1440"/>
        <w:jc w:val="both"/>
      </w:pPr>
      <w:r>
        <w:t xml:space="preserve">(2)</w:t>
      </w:r>
      <w:r xml:space="preserve">
        <w:t> </w:t>
      </w:r>
      <w:r xml:space="preserve">
        <w:t> </w:t>
      </w:r>
      <w:r>
        <w:t xml:space="preserve">a permit holder under any of those chapters;</w:t>
      </w:r>
    </w:p>
    <w:p w:rsidR="003F3435" w:rsidRDefault="0032493E">
      <w:pPr>
        <w:spacing w:line="480" w:lineRule="auto"/>
        <w:ind w:firstLine="1440"/>
        <w:jc w:val="both"/>
      </w:pPr>
      <w:r>
        <w:t xml:space="preserve">(3)</w:t>
      </w:r>
      <w:r xml:space="preserve">
        <w:t> </w:t>
      </w:r>
      <w:r xml:space="preserve">
        <w:t> </w:t>
      </w:r>
      <w:r>
        <w:t xml:space="preserve">an officer, director, stockholder owning 10 percent or more of the outstanding stock, partner, owner, or managing employee of an applicant or permit holder under any of those chapters that is a corporation, association, joint venture, syndicate, partnership, or proprietorship;</w:t>
      </w:r>
    </w:p>
    <w:p w:rsidR="003F3435" w:rsidRDefault="0032493E">
      <w:pPr>
        <w:spacing w:line="480" w:lineRule="auto"/>
        <w:ind w:firstLine="1440"/>
        <w:jc w:val="both"/>
      </w:pPr>
      <w:r>
        <w:t xml:space="preserve">(4)</w:t>
      </w:r>
      <w:r xml:space="preserve">
        <w:t> </w:t>
      </w:r>
      <w:r xml:space="preserve">
        <w:t> </w:t>
      </w:r>
      <w:r>
        <w:t xml:space="preserve">believed to have violated any of those chapters;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being considered by the comptroller for employment as a peace officer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receiving, scheduled to receive, or applying to receive compensation under Chapter 103, Civil Practice and Remedies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Notwithstanding Section 103.0535(d), Civil Practice and Remedies Code, as amended by this Act, a person entitled to compensation under Section 103.001(a), Civil Practice and Remedies Code, who started receiving annuity payments before the effective date of this Act may elect to receive any remaining payments as alternative annuity payments under Section 103.0535, Civil Practice and Remedies Code, as amended by this Act, by filing the form described by Section 103.0535(d-1), Civil Practice and Remedies Code, as added by this Act, with the comptroller after December 31, 2019, and before March 1, 2020.  The value of alternative annuity payments elected under this subsection must be actuarially equivalent to the remaining value of the annuity payments the person would receive absent the election. </w:t>
      </w:r>
      <w:r>
        <w:t xml:space="preserve"> </w:t>
      </w:r>
      <w:r>
        <w:t xml:space="preserve">This subsection does not affect the ability of a person described by this subsection to make an election under Section 103.0535(d), Civil Practice and Remedies Code, as amended by this Act, following a life-changing event described by that subsection.</w:t>
      </w:r>
    </w:p>
    <w:p w:rsidR="003F3435" w:rsidRDefault="0032493E">
      <w:pPr>
        <w:spacing w:line="480" w:lineRule="auto"/>
        <w:ind w:firstLine="720"/>
        <w:jc w:val="both"/>
      </w:pPr>
      <w:r>
        <w:t xml:space="preserve">(b)</w:t>
      </w:r>
      <w:r xml:space="preserve">
        <w:t> </w:t>
      </w:r>
      <w:r xml:space="preserve">
        <w:t> </w:t>
      </w:r>
      <w:r>
        <w:t xml:space="preserve">Not later than December 1, 2019, the comptroller shall provide notice to all persons entitled to compensation under Section 103.001(a), Civil Practice and Remedies Code, of:</w:t>
      </w:r>
    </w:p>
    <w:p w:rsidR="003F3435" w:rsidRDefault="0032493E">
      <w:pPr>
        <w:spacing w:line="480" w:lineRule="auto"/>
        <w:ind w:firstLine="1440"/>
        <w:jc w:val="both"/>
      </w:pPr>
      <w:r>
        <w:t xml:space="preserve">(1)</w:t>
      </w:r>
      <w:r xml:space="preserve">
        <w:t> </w:t>
      </w:r>
      <w:r xml:space="preserve">
        <w:t> </w:t>
      </w:r>
      <w:r>
        <w:t xml:space="preserve">the opportunity described by Subsection (a) of this section to elect to receive alternative annuity payments under Section 103.0535, Civil Practice and Remedies Code, as amended by this Act; and</w:t>
      </w:r>
    </w:p>
    <w:p w:rsidR="003F3435" w:rsidRDefault="0032493E">
      <w:pPr>
        <w:spacing w:line="480" w:lineRule="auto"/>
        <w:ind w:firstLine="1440"/>
        <w:jc w:val="both"/>
      </w:pPr>
      <w:r>
        <w:t xml:space="preserve">(2)</w:t>
      </w:r>
      <w:r xml:space="preserve">
        <w:t> </w:t>
      </w:r>
      <w:r xml:space="preserve">
        <w:t> </w:t>
      </w:r>
      <w:r>
        <w:t xml:space="preserve">the opportunity to elect to receive alternative annuity payments after a life-changing event under Section 103.0535(d), Civil Practice and Remedies Code, as amended by this Act.</w:t>
      </w:r>
    </w:p>
    <w:p w:rsidR="003F3435" w:rsidRDefault="0032493E">
      <w:pPr>
        <w:spacing w:line="480" w:lineRule="auto"/>
        <w:ind w:firstLine="720"/>
        <w:jc w:val="both"/>
      </w:pPr>
      <w:r>
        <w:t xml:space="preserve">(c)</w:t>
      </w:r>
      <w:r xml:space="preserve">
        <w:t> </w:t>
      </w:r>
      <w:r xml:space="preserve">
        <w:t> </w:t>
      </w:r>
      <w:r>
        <w:t xml:space="preserve">The comptroller shall provide the notice required by Subsection (b) of this section by:</w:t>
      </w:r>
    </w:p>
    <w:p w:rsidR="003F3435" w:rsidRDefault="0032493E">
      <w:pPr>
        <w:spacing w:line="480" w:lineRule="auto"/>
        <w:ind w:firstLine="1440"/>
        <w:jc w:val="both"/>
      </w:pPr>
      <w:r>
        <w:t xml:space="preserve">(1)</w:t>
      </w:r>
      <w:r xml:space="preserve">
        <w:t> </w:t>
      </w:r>
      <w:r xml:space="preserve">
        <w:t> </w:t>
      </w:r>
      <w:r>
        <w:t xml:space="preserve">certified mail to a person's last known address; and</w:t>
      </w:r>
    </w:p>
    <w:p w:rsidR="003F3435" w:rsidRDefault="0032493E">
      <w:pPr>
        <w:spacing w:line="480" w:lineRule="auto"/>
        <w:ind w:firstLine="1440"/>
        <w:jc w:val="both"/>
      </w:pPr>
      <w:r>
        <w:t xml:space="preserve">(2)</w:t>
      </w:r>
      <w:r xml:space="preserve">
        <w:t> </w:t>
      </w:r>
      <w:r xml:space="preserve">
        <w:t> </w:t>
      </w:r>
      <w:r>
        <w:t xml:space="preserve">phone call to the phone number that the comptroller has on file for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1151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1151 passed the House, with amendments,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146, Nays</w:t>
      </w:r>
      <w:r xml:space="preserve">
        <w:t> </w:t>
      </w:r>
      <w:r>
        <w:t xml:space="preserve">0, one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